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Look w:val="04A0"/>
      </w:tblPr>
      <w:tblGrid>
        <w:gridCol w:w="7213"/>
        <w:gridCol w:w="7214"/>
      </w:tblGrid>
      <w:tr w:rsidR="00C35DD7" w:rsidRPr="00F67F05" w:rsidTr="00E51C9B">
        <w:tc>
          <w:tcPr>
            <w:tcW w:w="14427" w:type="dxa"/>
            <w:gridSpan w:val="2"/>
          </w:tcPr>
          <w:p w:rsidR="00BF163D" w:rsidRDefault="00BF163D" w:rsidP="00BF163D">
            <w:pPr>
              <w:jc w:val="center"/>
              <w:rPr>
                <w:rFonts w:asciiTheme="majorHAnsi" w:hAnsiTheme="majorHAnsi" w:cs="Arial"/>
                <w:sz w:val="24"/>
                <w:szCs w:val="24"/>
              </w:rPr>
            </w:pPr>
            <w:r w:rsidRPr="00BF163D">
              <w:rPr>
                <w:rFonts w:asciiTheme="majorHAnsi" w:hAnsiTheme="majorHAnsi" w:cs="Arial"/>
                <w:b/>
                <w:sz w:val="24"/>
                <w:szCs w:val="24"/>
              </w:rPr>
              <w:t>ID15APB010</w:t>
            </w:r>
          </w:p>
          <w:p w:rsidR="00C35DD7" w:rsidRDefault="00BF163D" w:rsidP="00BF163D">
            <w:pPr>
              <w:jc w:val="center"/>
              <w:rPr>
                <w:rFonts w:asciiTheme="majorHAnsi" w:hAnsiTheme="majorHAnsi" w:cs="Arial"/>
                <w:sz w:val="24"/>
                <w:szCs w:val="24"/>
              </w:rPr>
            </w:pPr>
            <w:r w:rsidRPr="00BF163D">
              <w:rPr>
                <w:rFonts w:asciiTheme="majorHAnsi" w:hAnsiTheme="majorHAnsi" w:cs="Arial"/>
                <w:sz w:val="24"/>
                <w:szCs w:val="24"/>
              </w:rPr>
              <w:t>Procedura aperta per la stipula di una convenzione per l’affidamento della fornitura di acceleratori lineari per le aziende del SSR FVG</w:t>
            </w:r>
          </w:p>
          <w:p w:rsidR="00BF163D" w:rsidRPr="00BF163D" w:rsidRDefault="00BF163D" w:rsidP="00BF163D">
            <w:pPr>
              <w:jc w:val="center"/>
              <w:rPr>
                <w:rFonts w:asciiTheme="majorHAnsi" w:hAnsiTheme="majorHAnsi"/>
                <w:sz w:val="24"/>
                <w:szCs w:val="24"/>
              </w:rPr>
            </w:pPr>
            <w:r>
              <w:rPr>
                <w:rFonts w:asciiTheme="majorHAnsi" w:hAnsiTheme="majorHAnsi" w:cs="Arial"/>
                <w:sz w:val="24"/>
                <w:szCs w:val="24"/>
              </w:rPr>
              <w:t>RISPOSTA AI QUESITI</w:t>
            </w:r>
          </w:p>
        </w:tc>
      </w:tr>
      <w:tr w:rsidR="00C35DD7" w:rsidRPr="00F67F05" w:rsidTr="00C35DD7">
        <w:tc>
          <w:tcPr>
            <w:tcW w:w="7213" w:type="dxa"/>
          </w:tcPr>
          <w:p w:rsidR="00C35DD7" w:rsidRPr="00F67F05" w:rsidRDefault="00C35DD7">
            <w:pPr>
              <w:rPr>
                <w:rFonts w:asciiTheme="majorHAnsi" w:hAnsiTheme="majorHAnsi"/>
              </w:rPr>
            </w:pPr>
            <w:r w:rsidRPr="00F67F05">
              <w:rPr>
                <w:rFonts w:asciiTheme="majorHAnsi" w:hAnsiTheme="majorHAnsi"/>
              </w:rPr>
              <w:t>Quesito n.1</w:t>
            </w:r>
          </w:p>
        </w:tc>
        <w:tc>
          <w:tcPr>
            <w:tcW w:w="7214" w:type="dxa"/>
          </w:tcPr>
          <w:p w:rsidR="00C35DD7" w:rsidRPr="00F67F05" w:rsidRDefault="00C35DD7">
            <w:pPr>
              <w:rPr>
                <w:rFonts w:asciiTheme="majorHAnsi" w:hAnsiTheme="majorHAnsi"/>
              </w:rPr>
            </w:pPr>
            <w:r w:rsidRPr="00F67F05">
              <w:rPr>
                <w:rFonts w:asciiTheme="majorHAnsi" w:hAnsiTheme="majorHAnsi"/>
              </w:rPr>
              <w:t>Risposta n.1</w:t>
            </w:r>
          </w:p>
        </w:tc>
      </w:tr>
      <w:tr w:rsidR="002F506D" w:rsidRPr="00F67F05" w:rsidTr="00C35DD7">
        <w:tc>
          <w:tcPr>
            <w:tcW w:w="7213" w:type="dxa"/>
          </w:tcPr>
          <w:p w:rsidR="002F506D" w:rsidRPr="00F67F05" w:rsidRDefault="002F506D" w:rsidP="00AD3603">
            <w:pPr>
              <w:jc w:val="both"/>
              <w:rPr>
                <w:rFonts w:asciiTheme="majorHAnsi" w:hAnsiTheme="majorHAnsi"/>
              </w:rPr>
            </w:pPr>
            <w:r w:rsidRPr="00F67F05">
              <w:rPr>
                <w:rFonts w:asciiTheme="majorHAnsi" w:hAnsiTheme="majorHAnsi"/>
              </w:rPr>
              <w:t>Con riferimento alla procedura in oggetto e nello specifico al documento “ALLEGATO B- Patto d’integrità” art. 3 – OBBLIGHI DEGLI OPERATORI ECONOMICI NEI CONFRONTI DELLA STAZIONE APPALTANTE punto a) in cui si cita “si obbliga a non ricorrere ad alcuna mediazione o altra opera di terzi finalizzata all’aggiudicazione e/o gestione contratto”, si chiede cortesemente di precisare che quanto specificato si riferisca esclusivamente a soggetti terzi che possano potenzialmente influenzare/facilitare (illegittimamente) il procedimento e/o l’aggiudicazione e non anche ad agenti di commercio che svolgono supporto tecnico commerciale.</w:t>
            </w:r>
          </w:p>
        </w:tc>
        <w:tc>
          <w:tcPr>
            <w:tcW w:w="7214" w:type="dxa"/>
          </w:tcPr>
          <w:p w:rsidR="00B9670A" w:rsidRPr="00B9670A" w:rsidRDefault="00B9670A" w:rsidP="00B9670A">
            <w:pPr>
              <w:jc w:val="both"/>
              <w:rPr>
                <w:rFonts w:asciiTheme="majorHAnsi" w:hAnsiTheme="majorHAnsi"/>
              </w:rPr>
            </w:pPr>
            <w:r w:rsidRPr="00B9670A">
              <w:rPr>
                <w:rFonts w:asciiTheme="majorHAnsi" w:hAnsiTheme="majorHAnsi"/>
              </w:rPr>
              <w:t>visto l’art. 1742 del C.C. ai sensi del quale l’agente assume stabilmente l’incarico di promuovere la conclusione di contratti a favore di una ditta a fronte di una retribuzione, le prescrizioni contenute nell’articolo del Patto di Integrità non interessano tali figure e pertanto non possono essere configurati quali “terzi”.</w:t>
            </w:r>
          </w:p>
          <w:p w:rsidR="002F506D" w:rsidRPr="00B37A74" w:rsidRDefault="002F506D" w:rsidP="00AD3603">
            <w:pPr>
              <w:jc w:val="both"/>
              <w:rPr>
                <w:rFonts w:asciiTheme="majorHAnsi" w:hAnsiTheme="majorHAnsi"/>
                <w:color w:val="FF0000"/>
              </w:rPr>
            </w:pPr>
          </w:p>
        </w:tc>
      </w:tr>
      <w:tr w:rsidR="002F506D" w:rsidRPr="00F67F05" w:rsidTr="00C35DD7">
        <w:tc>
          <w:tcPr>
            <w:tcW w:w="7213" w:type="dxa"/>
          </w:tcPr>
          <w:p w:rsidR="002F506D" w:rsidRPr="00F67F05" w:rsidRDefault="002F506D" w:rsidP="00E51C9B">
            <w:pPr>
              <w:rPr>
                <w:rFonts w:asciiTheme="majorHAnsi" w:hAnsiTheme="majorHAnsi"/>
              </w:rPr>
            </w:pPr>
            <w:r w:rsidRPr="00F67F05">
              <w:rPr>
                <w:rFonts w:asciiTheme="majorHAnsi" w:hAnsiTheme="majorHAnsi"/>
              </w:rPr>
              <w:t>Quesito n.</w:t>
            </w:r>
            <w:r>
              <w:rPr>
                <w:rFonts w:asciiTheme="majorHAnsi" w:hAnsiTheme="majorHAnsi"/>
              </w:rPr>
              <w:t>2</w:t>
            </w:r>
          </w:p>
        </w:tc>
        <w:tc>
          <w:tcPr>
            <w:tcW w:w="7214" w:type="dxa"/>
          </w:tcPr>
          <w:p w:rsidR="002F506D" w:rsidRPr="00F67F05" w:rsidRDefault="002F506D" w:rsidP="000A137A">
            <w:pPr>
              <w:rPr>
                <w:rFonts w:asciiTheme="majorHAnsi" w:hAnsiTheme="majorHAnsi"/>
              </w:rPr>
            </w:pPr>
            <w:r w:rsidRPr="00F67F05">
              <w:rPr>
                <w:rFonts w:asciiTheme="majorHAnsi" w:hAnsiTheme="majorHAnsi"/>
              </w:rPr>
              <w:t>Risposta n.</w:t>
            </w:r>
            <w:r>
              <w:rPr>
                <w:rFonts w:asciiTheme="majorHAnsi" w:hAnsiTheme="majorHAnsi"/>
              </w:rPr>
              <w:t>2</w:t>
            </w:r>
          </w:p>
        </w:tc>
      </w:tr>
      <w:tr w:rsidR="002F506D" w:rsidRPr="00F67F05" w:rsidTr="00C35DD7">
        <w:tc>
          <w:tcPr>
            <w:tcW w:w="7213" w:type="dxa"/>
          </w:tcPr>
          <w:p w:rsidR="002F506D" w:rsidRDefault="002F506D" w:rsidP="00D74D4F">
            <w:pPr>
              <w:rPr>
                <w:rFonts w:asciiTheme="majorHAnsi" w:hAnsiTheme="majorHAnsi"/>
              </w:rPr>
            </w:pPr>
          </w:p>
          <w:p w:rsidR="002F506D" w:rsidRPr="00D74D4F" w:rsidRDefault="002F506D" w:rsidP="00D74D4F">
            <w:pPr>
              <w:rPr>
                <w:rFonts w:asciiTheme="majorHAnsi" w:hAnsiTheme="majorHAnsi"/>
              </w:rPr>
            </w:pPr>
            <w:r>
              <w:rPr>
                <w:rFonts w:asciiTheme="majorHAnsi" w:hAnsiTheme="majorHAnsi"/>
              </w:rPr>
              <w:t>A</w:t>
            </w:r>
            <w:r w:rsidRPr="00D74D4F">
              <w:rPr>
                <w:rFonts w:asciiTheme="majorHAnsi" w:hAnsiTheme="majorHAnsi"/>
              </w:rPr>
              <w:t xml:space="preserve">vremmo la necessità,  in vista dei sopralluoghi già fissati con i singoli </w:t>
            </w:r>
            <w:r w:rsidR="00AD3603" w:rsidRPr="00D74D4F">
              <w:rPr>
                <w:rFonts w:asciiTheme="majorHAnsi" w:hAnsiTheme="majorHAnsi"/>
              </w:rPr>
              <w:t>responsabili</w:t>
            </w:r>
            <w:r w:rsidRPr="00D74D4F">
              <w:rPr>
                <w:rFonts w:asciiTheme="majorHAnsi" w:hAnsiTheme="majorHAnsi"/>
              </w:rPr>
              <w:t xml:space="preserve"> i giorni 15 e 16 settembre, di sapere se agli stessi è ammessa la presenza di più soggetti opportunamente delegati.</w:t>
            </w:r>
          </w:p>
          <w:p w:rsidR="002F506D" w:rsidRPr="00D74D4F" w:rsidRDefault="002F506D" w:rsidP="00D74D4F">
            <w:pPr>
              <w:rPr>
                <w:rFonts w:asciiTheme="majorHAnsi" w:hAnsiTheme="majorHAnsi"/>
              </w:rPr>
            </w:pPr>
            <w:r w:rsidRPr="00D74D4F">
              <w:rPr>
                <w:rFonts w:asciiTheme="majorHAnsi" w:hAnsiTheme="majorHAnsi"/>
              </w:rPr>
              <w:t>La necessità è data dal fatto che durante i sopralluoghi debbano essere presenti tutte le figure professionali necessarie alla valutazione dell'appalto sia per la parte edile ed impiantistica che per la parte configurazione macchina e architettura sistemi.</w:t>
            </w:r>
          </w:p>
          <w:p w:rsidR="002F506D" w:rsidRPr="00F67F05" w:rsidRDefault="002F506D" w:rsidP="00D74D4F">
            <w:pPr>
              <w:rPr>
                <w:rFonts w:asciiTheme="majorHAnsi" w:hAnsiTheme="majorHAnsi"/>
              </w:rPr>
            </w:pPr>
          </w:p>
        </w:tc>
        <w:tc>
          <w:tcPr>
            <w:tcW w:w="7214" w:type="dxa"/>
          </w:tcPr>
          <w:p w:rsidR="002F506D" w:rsidRDefault="002F506D" w:rsidP="000A137A">
            <w:pPr>
              <w:rPr>
                <w:rFonts w:asciiTheme="majorHAnsi" w:hAnsiTheme="majorHAnsi"/>
              </w:rPr>
            </w:pPr>
            <w:r w:rsidRPr="003E10B2">
              <w:rPr>
                <w:rFonts w:asciiTheme="majorHAnsi" w:hAnsiTheme="majorHAnsi"/>
              </w:rPr>
              <w:t>Ci si attiene a quanto previsto all’art. 7 del lotto n.1 del CSA</w:t>
            </w:r>
            <w:r>
              <w:rPr>
                <w:rFonts w:asciiTheme="majorHAnsi" w:hAnsiTheme="majorHAnsi"/>
              </w:rPr>
              <w:t xml:space="preserve"> </w:t>
            </w:r>
            <w:r w:rsidRPr="003E10B2">
              <w:rPr>
                <w:rFonts w:asciiTheme="majorHAnsi" w:hAnsiTheme="majorHAnsi"/>
              </w:rPr>
              <w:t>, nulla osta alla presenza di ulteriori figure professionali</w:t>
            </w:r>
          </w:p>
          <w:p w:rsidR="002F506D" w:rsidRPr="00F67F05" w:rsidRDefault="002F506D" w:rsidP="000A137A">
            <w:pPr>
              <w:jc w:val="both"/>
              <w:rPr>
                <w:rFonts w:asciiTheme="majorHAnsi" w:hAnsiTheme="majorHAnsi"/>
              </w:rPr>
            </w:pPr>
          </w:p>
        </w:tc>
      </w:tr>
      <w:tr w:rsidR="002F506D" w:rsidRPr="00F67F05" w:rsidTr="00C35DD7">
        <w:tc>
          <w:tcPr>
            <w:tcW w:w="7213" w:type="dxa"/>
          </w:tcPr>
          <w:p w:rsidR="002F506D" w:rsidRPr="00F67F05" w:rsidRDefault="002F506D" w:rsidP="00E51C9B">
            <w:pPr>
              <w:rPr>
                <w:rFonts w:asciiTheme="majorHAnsi" w:hAnsiTheme="majorHAnsi"/>
              </w:rPr>
            </w:pPr>
            <w:r w:rsidRPr="00F67F05">
              <w:rPr>
                <w:rFonts w:asciiTheme="majorHAnsi" w:hAnsiTheme="majorHAnsi"/>
              </w:rPr>
              <w:t>Quesito n.</w:t>
            </w:r>
            <w:r>
              <w:rPr>
                <w:rFonts w:asciiTheme="majorHAnsi" w:hAnsiTheme="majorHAnsi"/>
              </w:rPr>
              <w:t>3</w:t>
            </w:r>
          </w:p>
        </w:tc>
        <w:tc>
          <w:tcPr>
            <w:tcW w:w="7214" w:type="dxa"/>
          </w:tcPr>
          <w:p w:rsidR="002F506D" w:rsidRPr="00F67F05" w:rsidRDefault="002F506D" w:rsidP="000A137A">
            <w:pPr>
              <w:rPr>
                <w:rFonts w:asciiTheme="majorHAnsi" w:hAnsiTheme="majorHAnsi"/>
              </w:rPr>
            </w:pPr>
            <w:r w:rsidRPr="00F67F05">
              <w:rPr>
                <w:rFonts w:asciiTheme="majorHAnsi" w:hAnsiTheme="majorHAnsi"/>
              </w:rPr>
              <w:t>Risposta n.</w:t>
            </w:r>
            <w:r>
              <w:rPr>
                <w:rFonts w:asciiTheme="majorHAnsi" w:hAnsiTheme="majorHAnsi"/>
              </w:rPr>
              <w:t>3</w:t>
            </w:r>
          </w:p>
        </w:tc>
      </w:tr>
      <w:tr w:rsidR="002F506D" w:rsidRPr="00F67F05" w:rsidTr="00C35DD7">
        <w:tc>
          <w:tcPr>
            <w:tcW w:w="7213" w:type="dxa"/>
          </w:tcPr>
          <w:p w:rsidR="002F506D" w:rsidRPr="00D74D4F" w:rsidRDefault="002F506D" w:rsidP="00D74D4F">
            <w:pPr>
              <w:rPr>
                <w:rFonts w:asciiTheme="majorHAnsi" w:hAnsiTheme="majorHAnsi"/>
              </w:rPr>
            </w:pPr>
            <w:r w:rsidRPr="00D74D4F">
              <w:rPr>
                <w:rFonts w:asciiTheme="majorHAnsi" w:hAnsiTheme="majorHAnsi"/>
              </w:rPr>
              <w:t xml:space="preserve">Con riferimento procedura di gara in oggetto, e al colloquio telefonico odierno, come da accordi siamo a proporvi la data del </w:t>
            </w:r>
            <w:r>
              <w:rPr>
                <w:rFonts w:asciiTheme="majorHAnsi" w:hAnsiTheme="majorHAnsi"/>
              </w:rPr>
              <w:t>….</w:t>
            </w:r>
            <w:r w:rsidRPr="00D74D4F">
              <w:rPr>
                <w:rFonts w:asciiTheme="majorHAnsi" w:hAnsiTheme="majorHAnsi"/>
              </w:rPr>
              <w:t xml:space="preserve"> ore </w:t>
            </w:r>
            <w:r>
              <w:rPr>
                <w:rFonts w:asciiTheme="majorHAnsi" w:hAnsiTheme="majorHAnsi"/>
              </w:rPr>
              <w:t>…..</w:t>
            </w:r>
            <w:r w:rsidRPr="00D74D4F">
              <w:rPr>
                <w:rFonts w:asciiTheme="majorHAnsi" w:hAnsiTheme="majorHAnsi"/>
              </w:rPr>
              <w:t xml:space="preserve"> per il sopralluogo di gara.</w:t>
            </w:r>
          </w:p>
          <w:p w:rsidR="002F506D" w:rsidRPr="00D74D4F" w:rsidRDefault="002F506D" w:rsidP="00D74D4F">
            <w:pPr>
              <w:rPr>
                <w:rFonts w:asciiTheme="majorHAnsi" w:hAnsiTheme="majorHAnsi"/>
              </w:rPr>
            </w:pPr>
            <w:r w:rsidRPr="00D74D4F">
              <w:rPr>
                <w:rFonts w:asciiTheme="majorHAnsi" w:hAnsiTheme="majorHAnsi"/>
              </w:rPr>
              <w:t>Come già precedentemente accennato, richiediamo la presenza di tutte le figure professionali necessarie alla valutazione dell’appalto sia per la parte edile impiantistica ed arredi che per la parte di configurazione della fornitura.</w:t>
            </w:r>
          </w:p>
          <w:p w:rsidR="002F506D" w:rsidRPr="00D74D4F" w:rsidRDefault="002F506D" w:rsidP="00D74D4F">
            <w:pPr>
              <w:rPr>
                <w:rFonts w:asciiTheme="majorHAnsi" w:hAnsiTheme="majorHAnsi"/>
              </w:rPr>
            </w:pPr>
            <w:r w:rsidRPr="00D74D4F">
              <w:rPr>
                <w:rFonts w:asciiTheme="majorHAnsi" w:hAnsiTheme="majorHAnsi"/>
              </w:rPr>
              <w:t xml:space="preserve">In occasione dello stesso come da Cap. 2 del Capitolato Speciale,  ci aspettiamo altresì che venga consegnata alla scrivente la seguente documentazione </w:t>
            </w:r>
            <w:r w:rsidRPr="00D74D4F">
              <w:rPr>
                <w:rFonts w:asciiTheme="majorHAnsi" w:hAnsiTheme="majorHAnsi"/>
                <w:u w:val="single"/>
              </w:rPr>
              <w:t>indispensabile per la formulazione dell’offerta</w:t>
            </w:r>
            <w:r w:rsidRPr="00D74D4F">
              <w:rPr>
                <w:rFonts w:asciiTheme="majorHAnsi" w:hAnsiTheme="majorHAnsi"/>
              </w:rPr>
              <w:t>:</w:t>
            </w:r>
          </w:p>
          <w:p w:rsidR="002F506D" w:rsidRPr="00D74D4F" w:rsidRDefault="002F506D" w:rsidP="00D74D4F">
            <w:pPr>
              <w:rPr>
                <w:rFonts w:asciiTheme="majorHAnsi" w:hAnsiTheme="majorHAnsi"/>
              </w:rPr>
            </w:pPr>
            <w:r w:rsidRPr="00D74D4F">
              <w:rPr>
                <w:rFonts w:asciiTheme="majorHAnsi" w:hAnsiTheme="majorHAnsi"/>
              </w:rPr>
              <w:t xml:space="preserve">- la configurazione e l’architettura del Sistema Informatico di Radioterapia </w:t>
            </w:r>
            <w:proofErr w:type="spellStart"/>
            <w:r w:rsidRPr="00D74D4F">
              <w:rPr>
                <w:rFonts w:asciiTheme="majorHAnsi" w:hAnsiTheme="majorHAnsi"/>
              </w:rPr>
              <w:lastRenderedPageBreak/>
              <w:t>Varian</w:t>
            </w:r>
            <w:proofErr w:type="spellEnd"/>
            <w:r w:rsidRPr="00D74D4F">
              <w:rPr>
                <w:rFonts w:asciiTheme="majorHAnsi" w:hAnsiTheme="majorHAnsi"/>
              </w:rPr>
              <w:t xml:space="preserve"> Aria versione 13;</w:t>
            </w:r>
          </w:p>
          <w:p w:rsidR="002F506D" w:rsidRPr="00D74D4F" w:rsidRDefault="002F506D" w:rsidP="00D74D4F">
            <w:pPr>
              <w:rPr>
                <w:rFonts w:asciiTheme="majorHAnsi" w:hAnsiTheme="majorHAnsi"/>
              </w:rPr>
            </w:pPr>
            <w:r w:rsidRPr="00D74D4F">
              <w:rPr>
                <w:rFonts w:asciiTheme="majorHAnsi" w:hAnsiTheme="majorHAnsi"/>
              </w:rPr>
              <w:t xml:space="preserve">- l’architettura del sistema in dettaglio per il Sistema di pianificazione per Radioterapia </w:t>
            </w:r>
            <w:proofErr w:type="spellStart"/>
            <w:r w:rsidRPr="00D74D4F">
              <w:rPr>
                <w:rFonts w:asciiTheme="majorHAnsi" w:hAnsiTheme="majorHAnsi"/>
              </w:rPr>
              <w:t>Varian</w:t>
            </w:r>
            <w:proofErr w:type="spellEnd"/>
            <w:r w:rsidRPr="00D74D4F">
              <w:rPr>
                <w:rFonts w:asciiTheme="majorHAnsi" w:hAnsiTheme="majorHAnsi"/>
              </w:rPr>
              <w:t xml:space="preserve"> </w:t>
            </w:r>
            <w:proofErr w:type="spellStart"/>
            <w:r w:rsidRPr="00D74D4F">
              <w:rPr>
                <w:rFonts w:asciiTheme="majorHAnsi" w:hAnsiTheme="majorHAnsi"/>
              </w:rPr>
              <w:t>Eclipse</w:t>
            </w:r>
            <w:proofErr w:type="spellEnd"/>
            <w:r w:rsidRPr="00D74D4F">
              <w:rPr>
                <w:rFonts w:asciiTheme="majorHAnsi" w:hAnsiTheme="majorHAnsi"/>
              </w:rPr>
              <w:t xml:space="preserve"> versione 13;</w:t>
            </w:r>
          </w:p>
          <w:p w:rsidR="002F506D" w:rsidRPr="00D74D4F" w:rsidRDefault="002F506D" w:rsidP="00D74D4F">
            <w:pPr>
              <w:rPr>
                <w:rFonts w:asciiTheme="majorHAnsi" w:hAnsiTheme="majorHAnsi"/>
              </w:rPr>
            </w:pPr>
            <w:r w:rsidRPr="00D74D4F">
              <w:rPr>
                <w:rFonts w:asciiTheme="majorHAnsi" w:hAnsiTheme="majorHAnsi"/>
              </w:rPr>
              <w:t xml:space="preserve">- l’architettura del sistema in dettaglio per il Sistema di pianificazione per Radioterapia </w:t>
            </w:r>
            <w:proofErr w:type="spellStart"/>
            <w:r w:rsidRPr="00D74D4F">
              <w:rPr>
                <w:rFonts w:asciiTheme="majorHAnsi" w:hAnsiTheme="majorHAnsi"/>
              </w:rPr>
              <w:t>Oncentra</w:t>
            </w:r>
            <w:proofErr w:type="spellEnd"/>
            <w:r w:rsidRPr="00D74D4F">
              <w:rPr>
                <w:rFonts w:asciiTheme="majorHAnsi" w:hAnsiTheme="majorHAnsi"/>
              </w:rPr>
              <w:t xml:space="preserve"> </w:t>
            </w:r>
            <w:proofErr w:type="spellStart"/>
            <w:r w:rsidRPr="00D74D4F">
              <w:rPr>
                <w:rFonts w:asciiTheme="majorHAnsi" w:hAnsiTheme="majorHAnsi"/>
              </w:rPr>
              <w:t>Masterplan</w:t>
            </w:r>
            <w:proofErr w:type="spellEnd"/>
            <w:r w:rsidRPr="00D74D4F">
              <w:rPr>
                <w:rFonts w:asciiTheme="majorHAnsi" w:hAnsiTheme="majorHAnsi"/>
              </w:rPr>
              <w:t>;</w:t>
            </w:r>
          </w:p>
          <w:p w:rsidR="002F506D" w:rsidRPr="00D74D4F" w:rsidRDefault="002F506D" w:rsidP="00D74D4F">
            <w:pPr>
              <w:rPr>
                <w:rFonts w:asciiTheme="majorHAnsi" w:hAnsiTheme="majorHAnsi"/>
              </w:rPr>
            </w:pPr>
            <w:r w:rsidRPr="00D74D4F">
              <w:rPr>
                <w:rFonts w:asciiTheme="majorHAnsi" w:hAnsiTheme="majorHAnsi"/>
              </w:rPr>
              <w:t xml:space="preserve">- l’architettura del sistema in dettaglio per il Sistema di pianificazione </w:t>
            </w:r>
            <w:proofErr w:type="spellStart"/>
            <w:r w:rsidRPr="00D74D4F">
              <w:rPr>
                <w:rFonts w:asciiTheme="majorHAnsi" w:hAnsiTheme="majorHAnsi"/>
              </w:rPr>
              <w:t>Tomotherapy</w:t>
            </w:r>
            <w:proofErr w:type="spellEnd"/>
            <w:r w:rsidRPr="00D74D4F">
              <w:rPr>
                <w:rFonts w:asciiTheme="majorHAnsi" w:hAnsiTheme="majorHAnsi"/>
              </w:rPr>
              <w:t>.</w:t>
            </w:r>
          </w:p>
          <w:p w:rsidR="002F506D" w:rsidRPr="00F67F05" w:rsidRDefault="002F506D" w:rsidP="00D74D4F">
            <w:pPr>
              <w:rPr>
                <w:rFonts w:asciiTheme="majorHAnsi" w:hAnsiTheme="majorHAnsi"/>
              </w:rPr>
            </w:pPr>
            <w:r w:rsidRPr="00D74D4F">
              <w:rPr>
                <w:rFonts w:asciiTheme="majorHAnsi" w:hAnsiTheme="majorHAnsi"/>
              </w:rPr>
              <w:t>In particolare si richiede lo stesso livello di dettaglio esaustivo adottato per il LOTTO 2</w:t>
            </w:r>
          </w:p>
        </w:tc>
        <w:tc>
          <w:tcPr>
            <w:tcW w:w="7214" w:type="dxa"/>
          </w:tcPr>
          <w:p w:rsidR="002F506D" w:rsidRPr="00F67F05" w:rsidRDefault="002F506D" w:rsidP="000A137A">
            <w:pPr>
              <w:jc w:val="both"/>
              <w:rPr>
                <w:rFonts w:asciiTheme="majorHAnsi" w:hAnsiTheme="majorHAnsi"/>
              </w:rPr>
            </w:pPr>
            <w:r w:rsidRPr="003E10B2">
              <w:rPr>
                <w:rFonts w:asciiTheme="majorHAnsi" w:hAnsiTheme="majorHAnsi"/>
              </w:rPr>
              <w:lastRenderedPageBreak/>
              <w:t xml:space="preserve">CRO: in sede di sopralluogo verrà consegnata documentazione come previsto dal CSA, </w:t>
            </w:r>
            <w:proofErr w:type="spellStart"/>
            <w:r w:rsidRPr="003E10B2">
              <w:rPr>
                <w:rFonts w:asciiTheme="majorHAnsi" w:hAnsiTheme="majorHAnsi"/>
              </w:rPr>
              <w:t>CD</w:t>
            </w:r>
            <w:proofErr w:type="spellEnd"/>
            <w:r w:rsidRPr="003E10B2">
              <w:rPr>
                <w:rFonts w:asciiTheme="majorHAnsi" w:hAnsiTheme="majorHAnsi"/>
              </w:rPr>
              <w:t xml:space="preserve"> con planimetrie </w:t>
            </w:r>
            <w:proofErr w:type="spellStart"/>
            <w:r w:rsidRPr="003E10B2">
              <w:rPr>
                <w:rFonts w:asciiTheme="majorHAnsi" w:hAnsiTheme="majorHAnsi"/>
              </w:rPr>
              <w:t>dwg</w:t>
            </w:r>
            <w:proofErr w:type="spellEnd"/>
            <w:r w:rsidRPr="003E10B2">
              <w:rPr>
                <w:rFonts w:asciiTheme="majorHAnsi" w:hAnsiTheme="majorHAnsi"/>
              </w:rPr>
              <w:t xml:space="preserve"> e schemi elettrici, e verranno fornite le indicazioni sulla configurazione del sistema informatico ARIA ed ECLIPSE come richiesto nel CSA art. 2; la documentazione tecnica verrà pubblicata sul sito EGAS ad integrazione della parte informatica.</w:t>
            </w:r>
          </w:p>
        </w:tc>
      </w:tr>
      <w:tr w:rsidR="004B64CA" w:rsidRPr="00F67F05" w:rsidTr="00C35DD7">
        <w:tc>
          <w:tcPr>
            <w:tcW w:w="7213" w:type="dxa"/>
          </w:tcPr>
          <w:p w:rsidR="004B64CA" w:rsidRPr="00F67F05" w:rsidRDefault="004B64CA" w:rsidP="000A137A">
            <w:pPr>
              <w:rPr>
                <w:rFonts w:asciiTheme="majorHAnsi" w:hAnsiTheme="majorHAnsi"/>
              </w:rPr>
            </w:pPr>
            <w:r w:rsidRPr="00F67F05">
              <w:rPr>
                <w:rFonts w:asciiTheme="majorHAnsi" w:hAnsiTheme="majorHAnsi"/>
              </w:rPr>
              <w:lastRenderedPageBreak/>
              <w:t>Quesito n.</w:t>
            </w:r>
            <w:r>
              <w:rPr>
                <w:rFonts w:asciiTheme="majorHAnsi" w:hAnsiTheme="majorHAnsi"/>
              </w:rPr>
              <w:t>5</w:t>
            </w:r>
          </w:p>
        </w:tc>
        <w:tc>
          <w:tcPr>
            <w:tcW w:w="7214" w:type="dxa"/>
          </w:tcPr>
          <w:p w:rsidR="004B64CA" w:rsidRPr="00F67F05" w:rsidRDefault="004B64CA" w:rsidP="000A137A">
            <w:pPr>
              <w:rPr>
                <w:rFonts w:asciiTheme="majorHAnsi" w:hAnsiTheme="majorHAnsi"/>
              </w:rPr>
            </w:pPr>
            <w:r w:rsidRPr="00F67F05">
              <w:rPr>
                <w:rFonts w:asciiTheme="majorHAnsi" w:hAnsiTheme="majorHAnsi"/>
              </w:rPr>
              <w:t>Risposta n.</w:t>
            </w:r>
            <w:r>
              <w:rPr>
                <w:rFonts w:asciiTheme="majorHAnsi" w:hAnsiTheme="majorHAnsi"/>
              </w:rPr>
              <w:t>5</w:t>
            </w:r>
          </w:p>
        </w:tc>
      </w:tr>
      <w:tr w:rsidR="004B64CA" w:rsidRPr="00F67F05" w:rsidTr="00C35DD7">
        <w:tc>
          <w:tcPr>
            <w:tcW w:w="7213" w:type="dxa"/>
          </w:tcPr>
          <w:p w:rsidR="004B64CA" w:rsidRPr="003E3D22" w:rsidRDefault="004B64CA" w:rsidP="003E3D22">
            <w:pPr>
              <w:rPr>
                <w:rFonts w:asciiTheme="majorHAnsi" w:hAnsiTheme="majorHAnsi"/>
                <w:u w:val="single"/>
              </w:rPr>
            </w:pPr>
            <w:r w:rsidRPr="003E3D22">
              <w:rPr>
                <w:rFonts w:asciiTheme="majorHAnsi" w:hAnsiTheme="majorHAnsi"/>
                <w:u w:val="single"/>
              </w:rPr>
              <w:t>LOTTO 1</w:t>
            </w:r>
          </w:p>
          <w:p w:rsidR="004B64CA" w:rsidRPr="003E3D22" w:rsidRDefault="004B64CA" w:rsidP="003E3D22">
            <w:pPr>
              <w:rPr>
                <w:rFonts w:asciiTheme="majorHAnsi" w:hAnsiTheme="majorHAnsi"/>
                <w:u w:val="single"/>
              </w:rPr>
            </w:pPr>
          </w:p>
          <w:p w:rsidR="004B64CA" w:rsidRPr="003E3D22" w:rsidRDefault="004B64CA" w:rsidP="003E3D22">
            <w:pPr>
              <w:rPr>
                <w:rFonts w:asciiTheme="majorHAnsi" w:hAnsiTheme="majorHAnsi"/>
              </w:rPr>
            </w:pPr>
            <w:r w:rsidRPr="003E3D22">
              <w:rPr>
                <w:rFonts w:asciiTheme="majorHAnsi" w:hAnsiTheme="majorHAnsi"/>
                <w:u w:val="single"/>
              </w:rPr>
              <w:t>CRO 1</w:t>
            </w:r>
          </w:p>
          <w:p w:rsidR="004B64CA" w:rsidRPr="003E3D22" w:rsidRDefault="004B64CA" w:rsidP="003E3D22">
            <w:pPr>
              <w:rPr>
                <w:rFonts w:asciiTheme="majorHAnsi" w:hAnsiTheme="majorHAnsi"/>
              </w:rPr>
            </w:pPr>
            <w:r w:rsidRPr="003E3D22">
              <w:rPr>
                <w:rFonts w:asciiTheme="majorHAnsi" w:hAnsiTheme="majorHAnsi"/>
              </w:rPr>
              <w:t>Si chiede cortesemente, nel rispetto di quanto indicato nel Capitolato a pagina 13 di ricevere gli elaborati grafici, in particolare modo quelli strutturali (planimetrico e sezioni), possibilmente già in versione CAD, così da permettere l’immediato inizio della progettazione richiesta unitamente alla verifica protezionistica a cura dell’Esperto Qualificato del Concorrente.</w:t>
            </w:r>
          </w:p>
          <w:p w:rsidR="004B64CA" w:rsidRPr="003E3D22" w:rsidRDefault="004B64CA" w:rsidP="003E3D22">
            <w:pPr>
              <w:rPr>
                <w:rFonts w:asciiTheme="majorHAnsi" w:hAnsiTheme="majorHAnsi"/>
              </w:rPr>
            </w:pPr>
          </w:p>
          <w:p w:rsidR="004B64CA" w:rsidRPr="003E3D22" w:rsidRDefault="004B64CA" w:rsidP="003E3D22">
            <w:pPr>
              <w:rPr>
                <w:rFonts w:asciiTheme="majorHAnsi" w:hAnsiTheme="majorHAnsi"/>
                <w:u w:val="single"/>
              </w:rPr>
            </w:pPr>
            <w:r w:rsidRPr="003E3D22">
              <w:rPr>
                <w:rFonts w:asciiTheme="majorHAnsi" w:hAnsiTheme="majorHAnsi"/>
                <w:u w:val="single"/>
              </w:rPr>
              <w:t>CRO 2</w:t>
            </w:r>
          </w:p>
          <w:p w:rsidR="004B64CA" w:rsidRPr="003E3D22" w:rsidRDefault="004B64CA" w:rsidP="003E3D22">
            <w:pPr>
              <w:rPr>
                <w:rFonts w:asciiTheme="majorHAnsi" w:hAnsiTheme="majorHAnsi"/>
              </w:rPr>
            </w:pPr>
            <w:r w:rsidRPr="003E3D22">
              <w:rPr>
                <w:rFonts w:asciiTheme="majorHAnsi" w:hAnsiTheme="majorHAnsi"/>
              </w:rPr>
              <w:t xml:space="preserve">Si chiede di effettuare l’attività del Collaudo Amministrativo subito dopo il termine del periodo di Accettazione dell’intera fornitura, programmando in </w:t>
            </w:r>
            <w:proofErr w:type="spellStart"/>
            <w:r w:rsidRPr="003E3D22">
              <w:rPr>
                <w:rFonts w:asciiTheme="majorHAnsi" w:hAnsiTheme="majorHAnsi"/>
              </w:rPr>
              <w:t>queto</w:t>
            </w:r>
            <w:proofErr w:type="spellEnd"/>
            <w:r w:rsidRPr="003E3D22">
              <w:rPr>
                <w:rFonts w:asciiTheme="majorHAnsi" w:hAnsiTheme="majorHAnsi"/>
              </w:rPr>
              <w:t xml:space="preserve"> modo il periodo di formazione, in accordo con la S.A., solo successivamente all’attività di caratterizzazione del </w:t>
            </w:r>
            <w:proofErr w:type="spellStart"/>
            <w:r w:rsidRPr="003E3D22">
              <w:rPr>
                <w:rFonts w:asciiTheme="majorHAnsi" w:hAnsiTheme="majorHAnsi"/>
              </w:rPr>
              <w:t>Linac</w:t>
            </w:r>
            <w:proofErr w:type="spellEnd"/>
            <w:r w:rsidRPr="003E3D22">
              <w:rPr>
                <w:rFonts w:asciiTheme="majorHAnsi" w:hAnsiTheme="majorHAnsi"/>
              </w:rPr>
              <w:t xml:space="preserve"> (attività di competenza della Fisica </w:t>
            </w:r>
            <w:proofErr w:type="spellStart"/>
            <w:r w:rsidRPr="003E3D22">
              <w:rPr>
                <w:rFonts w:asciiTheme="majorHAnsi" w:hAnsiTheme="majorHAnsi"/>
              </w:rPr>
              <w:t>Sanitatia</w:t>
            </w:r>
            <w:proofErr w:type="spellEnd"/>
            <w:r w:rsidRPr="003E3D22">
              <w:rPr>
                <w:rFonts w:asciiTheme="majorHAnsi" w:hAnsiTheme="majorHAnsi"/>
              </w:rPr>
              <w:t xml:space="preserve"> della S.A. e non quantificabile dalla Scrivente all’interno del Cronoprogramma richiesto), lasciando quindi l’attività di training alla vigilia della resa clinica della fornitura, con ovvi vantaggi per il personale operante.</w:t>
            </w:r>
          </w:p>
          <w:p w:rsidR="004B64CA" w:rsidRPr="003E3D22" w:rsidRDefault="004B64CA" w:rsidP="003E3D22">
            <w:pPr>
              <w:rPr>
                <w:rFonts w:asciiTheme="majorHAnsi" w:hAnsiTheme="majorHAnsi"/>
              </w:rPr>
            </w:pPr>
          </w:p>
          <w:p w:rsidR="004B64CA" w:rsidRPr="003E3D22" w:rsidRDefault="004B64CA" w:rsidP="003E3D22">
            <w:pPr>
              <w:rPr>
                <w:rFonts w:asciiTheme="majorHAnsi" w:hAnsiTheme="majorHAnsi"/>
                <w:u w:val="single"/>
              </w:rPr>
            </w:pPr>
            <w:r w:rsidRPr="003E3D22">
              <w:rPr>
                <w:rFonts w:asciiTheme="majorHAnsi" w:hAnsiTheme="majorHAnsi"/>
                <w:u w:val="single"/>
              </w:rPr>
              <w:t>CRO 3</w:t>
            </w:r>
          </w:p>
          <w:p w:rsidR="004B64CA" w:rsidRPr="003E3D22" w:rsidRDefault="004B64CA" w:rsidP="003E3D22">
            <w:pPr>
              <w:rPr>
                <w:rFonts w:asciiTheme="majorHAnsi" w:hAnsiTheme="majorHAnsi"/>
              </w:rPr>
            </w:pPr>
            <w:r w:rsidRPr="003E3D22">
              <w:rPr>
                <w:rFonts w:asciiTheme="majorHAnsi" w:hAnsiTheme="majorHAnsi"/>
              </w:rPr>
              <w:t xml:space="preserve">Si chiede conferma che nell’Analisi dei costi il Concorrente non debba valutare nessun’altra figura professionale, oltre al citato Coordinatore della Sicurezza in Fase di Progettazione ed Esecuzione </w:t>
            </w:r>
            <w:proofErr w:type="spellStart"/>
            <w:r w:rsidRPr="003E3D22">
              <w:rPr>
                <w:rFonts w:asciiTheme="majorHAnsi" w:hAnsiTheme="majorHAnsi"/>
              </w:rPr>
              <w:t>considerandoLe</w:t>
            </w:r>
            <w:proofErr w:type="spellEnd"/>
            <w:r w:rsidRPr="003E3D22">
              <w:rPr>
                <w:rFonts w:asciiTheme="majorHAnsi" w:hAnsiTheme="majorHAnsi"/>
              </w:rPr>
              <w:t xml:space="preserve"> tutte di nomina e costi a cura della Stazione Appaltante.</w:t>
            </w:r>
          </w:p>
          <w:p w:rsidR="004B64CA" w:rsidRPr="003E3D22" w:rsidRDefault="004B64CA" w:rsidP="003E3D22">
            <w:pPr>
              <w:rPr>
                <w:rFonts w:asciiTheme="majorHAnsi" w:hAnsiTheme="majorHAnsi"/>
              </w:rPr>
            </w:pPr>
          </w:p>
          <w:p w:rsidR="004B64CA" w:rsidRPr="003E3D22" w:rsidRDefault="004B64CA" w:rsidP="003E3D22">
            <w:pPr>
              <w:rPr>
                <w:rFonts w:asciiTheme="majorHAnsi" w:hAnsiTheme="majorHAnsi"/>
                <w:u w:val="single"/>
              </w:rPr>
            </w:pPr>
            <w:r w:rsidRPr="003E3D22">
              <w:rPr>
                <w:rFonts w:asciiTheme="majorHAnsi" w:hAnsiTheme="majorHAnsi"/>
                <w:u w:val="single"/>
              </w:rPr>
              <w:t>CRO 4</w:t>
            </w:r>
          </w:p>
          <w:p w:rsidR="004B64CA" w:rsidRPr="003E3D22" w:rsidRDefault="004B64CA" w:rsidP="003E3D22">
            <w:pPr>
              <w:rPr>
                <w:rFonts w:asciiTheme="majorHAnsi" w:hAnsiTheme="majorHAnsi"/>
              </w:rPr>
            </w:pPr>
            <w:r w:rsidRPr="003E3D22">
              <w:rPr>
                <w:rFonts w:asciiTheme="majorHAnsi" w:hAnsiTheme="majorHAnsi"/>
              </w:rPr>
              <w:lastRenderedPageBreak/>
              <w:t>Si chiede conferma che oltre alle sole predisposizioni impiantistiche sia a carico dell’Aggiudicatario anche il completamento dell’impianto con il successivo interfacciamento alla distribuzione esistente invece della sola realizzazione delle vie cavi lasciando, come da prassi, la realizzazione impiantistica alla ditta terza che opera già all’interno della struttura per conto della S.A.</w:t>
            </w:r>
          </w:p>
          <w:p w:rsidR="004B64CA" w:rsidRPr="003E3D22" w:rsidRDefault="004B64CA" w:rsidP="003E3D22">
            <w:pPr>
              <w:rPr>
                <w:rFonts w:asciiTheme="majorHAnsi" w:hAnsiTheme="majorHAnsi"/>
                <w:u w:val="single"/>
              </w:rPr>
            </w:pPr>
          </w:p>
          <w:p w:rsidR="004B64CA" w:rsidRPr="003E3D22" w:rsidRDefault="004B64CA" w:rsidP="003E3D22">
            <w:pPr>
              <w:rPr>
                <w:rFonts w:asciiTheme="majorHAnsi" w:hAnsiTheme="majorHAnsi"/>
                <w:u w:val="single"/>
              </w:rPr>
            </w:pPr>
            <w:r w:rsidRPr="003E3D22">
              <w:rPr>
                <w:rFonts w:asciiTheme="majorHAnsi" w:hAnsiTheme="majorHAnsi"/>
                <w:u w:val="single"/>
              </w:rPr>
              <w:t>LOTTO 2</w:t>
            </w:r>
          </w:p>
          <w:p w:rsidR="004B64CA" w:rsidRPr="003E3D22" w:rsidRDefault="004B64CA" w:rsidP="003E3D22">
            <w:pPr>
              <w:rPr>
                <w:rFonts w:asciiTheme="majorHAnsi" w:hAnsiTheme="majorHAnsi"/>
                <w:u w:val="single"/>
              </w:rPr>
            </w:pPr>
            <w:r w:rsidRPr="003E3D22">
              <w:rPr>
                <w:rFonts w:asciiTheme="majorHAnsi" w:hAnsiTheme="majorHAnsi"/>
                <w:u w:val="single"/>
              </w:rPr>
              <w:t>ASUIUD 1</w:t>
            </w:r>
          </w:p>
          <w:p w:rsidR="004B64CA" w:rsidRPr="003E3D22" w:rsidRDefault="004B64CA" w:rsidP="003E3D22">
            <w:pPr>
              <w:rPr>
                <w:rFonts w:asciiTheme="majorHAnsi" w:hAnsiTheme="majorHAnsi"/>
              </w:rPr>
            </w:pPr>
            <w:r w:rsidRPr="003E3D22">
              <w:rPr>
                <w:rFonts w:asciiTheme="majorHAnsi" w:hAnsiTheme="majorHAnsi"/>
              </w:rPr>
              <w:t>Si chiede cortesemente, nel rispetto di quanto indicato nel Capitolato a pagina 51 di ricevere gli elaborati grafici, in particolare modo quelli strutturali (planimetrico e sezioni), possibilmente già in versione CAD, così da permettere l’immediato inizio della progettazione richiesta unitamente alla verifica protezionistica a cura dell’Esperto Qualificato del Concorrente.</w:t>
            </w:r>
          </w:p>
          <w:p w:rsidR="004B64CA" w:rsidRPr="003E3D22" w:rsidRDefault="004B64CA" w:rsidP="003E3D22">
            <w:pPr>
              <w:rPr>
                <w:rFonts w:asciiTheme="majorHAnsi" w:hAnsiTheme="majorHAnsi"/>
                <w:u w:val="single"/>
              </w:rPr>
            </w:pPr>
            <w:r w:rsidRPr="003E3D22">
              <w:rPr>
                <w:rFonts w:asciiTheme="majorHAnsi" w:hAnsiTheme="majorHAnsi"/>
                <w:u w:val="single"/>
              </w:rPr>
              <w:t>ASUIUD 2</w:t>
            </w:r>
          </w:p>
          <w:p w:rsidR="004B64CA" w:rsidRPr="003E3D22" w:rsidRDefault="004B64CA" w:rsidP="003E3D22">
            <w:pPr>
              <w:rPr>
                <w:rFonts w:asciiTheme="majorHAnsi" w:hAnsiTheme="majorHAnsi"/>
              </w:rPr>
            </w:pPr>
            <w:r w:rsidRPr="003E3D22">
              <w:rPr>
                <w:rFonts w:asciiTheme="majorHAnsi" w:hAnsiTheme="majorHAnsi"/>
              </w:rPr>
              <w:t xml:space="preserve">Si chiede di effettuare l’attività del Collaudo Amministrativo subito dopo il termine del periodo di Accettazione dell’intera </w:t>
            </w:r>
            <w:proofErr w:type="spellStart"/>
            <w:r w:rsidRPr="003E3D22">
              <w:rPr>
                <w:rFonts w:asciiTheme="majorHAnsi" w:hAnsiTheme="majorHAnsi"/>
              </w:rPr>
              <w:t>fonitura</w:t>
            </w:r>
            <w:proofErr w:type="spellEnd"/>
            <w:r w:rsidRPr="003E3D22">
              <w:rPr>
                <w:rFonts w:asciiTheme="majorHAnsi" w:hAnsiTheme="majorHAnsi"/>
              </w:rPr>
              <w:t xml:space="preserve">, programmando in </w:t>
            </w:r>
            <w:proofErr w:type="spellStart"/>
            <w:r w:rsidRPr="003E3D22">
              <w:rPr>
                <w:rFonts w:asciiTheme="majorHAnsi" w:hAnsiTheme="majorHAnsi"/>
              </w:rPr>
              <w:t>queto</w:t>
            </w:r>
            <w:proofErr w:type="spellEnd"/>
            <w:r w:rsidRPr="003E3D22">
              <w:rPr>
                <w:rFonts w:asciiTheme="majorHAnsi" w:hAnsiTheme="majorHAnsi"/>
              </w:rPr>
              <w:t xml:space="preserve"> modo il periodo di formazione, in accordo con la S.A., solo successivamente all’attività di caratterizzazione del </w:t>
            </w:r>
            <w:proofErr w:type="spellStart"/>
            <w:r w:rsidRPr="003E3D22">
              <w:rPr>
                <w:rFonts w:asciiTheme="majorHAnsi" w:hAnsiTheme="majorHAnsi"/>
              </w:rPr>
              <w:t>Linac</w:t>
            </w:r>
            <w:proofErr w:type="spellEnd"/>
            <w:r w:rsidRPr="003E3D22">
              <w:rPr>
                <w:rFonts w:asciiTheme="majorHAnsi" w:hAnsiTheme="majorHAnsi"/>
              </w:rPr>
              <w:t xml:space="preserve"> (attività di competenza della Fisica </w:t>
            </w:r>
            <w:proofErr w:type="spellStart"/>
            <w:r w:rsidRPr="003E3D22">
              <w:rPr>
                <w:rFonts w:asciiTheme="majorHAnsi" w:hAnsiTheme="majorHAnsi"/>
              </w:rPr>
              <w:t>Sanitatia</w:t>
            </w:r>
            <w:proofErr w:type="spellEnd"/>
            <w:r w:rsidRPr="003E3D22">
              <w:rPr>
                <w:rFonts w:asciiTheme="majorHAnsi" w:hAnsiTheme="majorHAnsi"/>
              </w:rPr>
              <w:t xml:space="preserve"> della S.A. e non quantificabile dalla Scrivente all’interno del Cronoprogramma richiesto), lasciando quindi l’attività di training alla vigilia della resa clinica della fornitura, con ovvi vantaggi per il personale operante.</w:t>
            </w:r>
          </w:p>
          <w:p w:rsidR="004B64CA" w:rsidRPr="00F67F05" w:rsidRDefault="004B64CA" w:rsidP="004B64CA">
            <w:pPr>
              <w:rPr>
                <w:rFonts w:asciiTheme="majorHAnsi" w:hAnsiTheme="majorHAnsi"/>
              </w:rPr>
            </w:pPr>
          </w:p>
        </w:tc>
        <w:tc>
          <w:tcPr>
            <w:tcW w:w="7214" w:type="dxa"/>
          </w:tcPr>
          <w:p w:rsidR="00BA6344" w:rsidRPr="00BA6344" w:rsidRDefault="00BA6344" w:rsidP="00BA6344">
            <w:pPr>
              <w:rPr>
                <w:rFonts w:asciiTheme="majorHAnsi" w:hAnsiTheme="majorHAnsi"/>
                <w:u w:val="single"/>
              </w:rPr>
            </w:pPr>
            <w:r w:rsidRPr="00BA6344">
              <w:rPr>
                <w:rFonts w:asciiTheme="majorHAnsi" w:hAnsiTheme="majorHAnsi"/>
                <w:u w:val="single"/>
              </w:rPr>
              <w:lastRenderedPageBreak/>
              <w:t>LOTTO 1</w:t>
            </w:r>
          </w:p>
          <w:p w:rsidR="00BA6344" w:rsidRPr="00BA6344" w:rsidRDefault="00BA6344" w:rsidP="00BA6344">
            <w:pPr>
              <w:rPr>
                <w:rFonts w:asciiTheme="majorHAnsi" w:hAnsiTheme="majorHAnsi"/>
                <w:highlight w:val="yellow"/>
              </w:rPr>
            </w:pPr>
          </w:p>
          <w:p w:rsidR="00BA6344" w:rsidRPr="00BA6344" w:rsidRDefault="00BA6344" w:rsidP="00BA6344">
            <w:pPr>
              <w:rPr>
                <w:rFonts w:asciiTheme="majorHAnsi" w:hAnsiTheme="majorHAnsi"/>
              </w:rPr>
            </w:pPr>
            <w:r w:rsidRPr="00BA6344">
              <w:rPr>
                <w:rFonts w:asciiTheme="majorHAnsi" w:hAnsiTheme="majorHAnsi"/>
                <w:u w:val="single"/>
              </w:rPr>
              <w:t>CRO 1</w:t>
            </w:r>
            <w:r w:rsidRPr="00BA6344">
              <w:rPr>
                <w:rFonts w:asciiTheme="majorHAnsi" w:hAnsiTheme="majorHAnsi"/>
              </w:rPr>
              <w:t>:</w:t>
            </w:r>
          </w:p>
          <w:p w:rsidR="00BA6344" w:rsidRPr="00BA6344" w:rsidRDefault="00BA6344" w:rsidP="00BA6344">
            <w:pPr>
              <w:jc w:val="both"/>
              <w:rPr>
                <w:rFonts w:asciiTheme="majorHAnsi" w:hAnsiTheme="majorHAnsi"/>
              </w:rPr>
            </w:pPr>
            <w:r w:rsidRPr="00BA6344">
              <w:rPr>
                <w:rFonts w:asciiTheme="majorHAnsi" w:hAnsiTheme="majorHAnsi"/>
              </w:rPr>
              <w:t>In sede di sopralluogo si consegna come previsto da CSA un CD contenete elaborati grafici delle strutture edilizie ed impianti in versione CAD.</w:t>
            </w:r>
          </w:p>
          <w:p w:rsidR="00BA6344" w:rsidRPr="00BA6344" w:rsidRDefault="00BA6344" w:rsidP="00BA6344">
            <w:pPr>
              <w:jc w:val="both"/>
              <w:rPr>
                <w:rFonts w:asciiTheme="majorHAnsi" w:hAnsiTheme="majorHAnsi"/>
              </w:rPr>
            </w:pPr>
            <w:r w:rsidRPr="00BA6344">
              <w:rPr>
                <w:rFonts w:asciiTheme="majorHAnsi" w:hAnsiTheme="majorHAnsi"/>
              </w:rPr>
              <w:t>Art7 del CSA: “….In fase di sopralluogo verranno consegnati gli elaborati grafici delle strutture edilizie ed impianti (piante dei locali, sezioni,  distribuzioni impiantistiche e quadri elettrici) dell’esistente fabbricato</w:t>
            </w:r>
          </w:p>
          <w:p w:rsidR="00BA6344" w:rsidRPr="00BA6344" w:rsidRDefault="00BA6344" w:rsidP="00BA6344">
            <w:pPr>
              <w:autoSpaceDE w:val="0"/>
              <w:autoSpaceDN w:val="0"/>
              <w:jc w:val="both"/>
              <w:rPr>
                <w:rFonts w:asciiTheme="majorHAnsi" w:hAnsiTheme="majorHAnsi"/>
              </w:rPr>
            </w:pPr>
            <w:r w:rsidRPr="00BA6344">
              <w:rPr>
                <w:rFonts w:asciiTheme="majorHAnsi" w:hAnsiTheme="majorHAnsi"/>
              </w:rPr>
              <w:t>interessato dall’intervento riprodotti su supporto magnetico per la predisposizione dell’offerta e la definizione delle opere da realizzare…..”</w:t>
            </w:r>
          </w:p>
          <w:p w:rsidR="00BA6344" w:rsidRPr="00BA6344" w:rsidRDefault="00BA6344" w:rsidP="00BA6344">
            <w:pPr>
              <w:rPr>
                <w:rFonts w:asciiTheme="majorHAnsi" w:hAnsiTheme="majorHAnsi"/>
              </w:rPr>
            </w:pPr>
          </w:p>
          <w:p w:rsidR="00BA6344" w:rsidRPr="00BA6344" w:rsidRDefault="00BA6344" w:rsidP="00BA6344">
            <w:pPr>
              <w:jc w:val="both"/>
              <w:rPr>
                <w:rFonts w:asciiTheme="majorHAnsi" w:hAnsiTheme="majorHAnsi"/>
                <w:u w:val="single"/>
              </w:rPr>
            </w:pPr>
            <w:r w:rsidRPr="00BA6344">
              <w:rPr>
                <w:rFonts w:asciiTheme="majorHAnsi" w:hAnsiTheme="majorHAnsi"/>
                <w:u w:val="single"/>
              </w:rPr>
              <w:t xml:space="preserve">CRO 2 </w:t>
            </w:r>
          </w:p>
          <w:p w:rsidR="00BA6344" w:rsidRPr="00BA6344" w:rsidRDefault="00BA6344" w:rsidP="00BA6344">
            <w:pPr>
              <w:jc w:val="both"/>
              <w:rPr>
                <w:rFonts w:asciiTheme="majorHAnsi" w:hAnsiTheme="majorHAnsi"/>
              </w:rPr>
            </w:pPr>
            <w:r w:rsidRPr="00BA6344">
              <w:rPr>
                <w:rFonts w:asciiTheme="majorHAnsi" w:hAnsiTheme="majorHAnsi"/>
              </w:rPr>
              <w:t xml:space="preserve">Come previsto dal CSA e dal disciplinare di gara si precisa che il collaudo sarà effettuato alla fine di tutte le attività finalizzate alla verifica della congruità di tutto quanto richiesto per l’intera fornitura. Formazione e attività di </w:t>
            </w:r>
            <w:proofErr w:type="spellStart"/>
            <w:r w:rsidRPr="00BA6344">
              <w:rPr>
                <w:rFonts w:asciiTheme="majorHAnsi" w:hAnsiTheme="majorHAnsi"/>
              </w:rPr>
              <w:t>commissioning</w:t>
            </w:r>
            <w:proofErr w:type="spellEnd"/>
            <w:r w:rsidRPr="00BA6344">
              <w:rPr>
                <w:rFonts w:asciiTheme="majorHAnsi" w:hAnsiTheme="majorHAnsi"/>
              </w:rPr>
              <w:t xml:space="preserve"> potranno proseguire anche dopo la fase di collaudo, fermo restando tutto quanto previsto in sede di CSA e disciplinare relativamente agli aspetti di difetti emergenti post collaudo, garanzia, fatturazione…</w:t>
            </w:r>
          </w:p>
          <w:p w:rsidR="00BA6344" w:rsidRDefault="00BA6344" w:rsidP="00BA6344">
            <w:pPr>
              <w:jc w:val="both"/>
              <w:rPr>
                <w:rFonts w:asciiTheme="majorHAnsi" w:hAnsiTheme="majorHAnsi"/>
              </w:rPr>
            </w:pPr>
          </w:p>
          <w:p w:rsidR="00BA6344" w:rsidRPr="00BA6344" w:rsidRDefault="00BA6344" w:rsidP="00BA6344">
            <w:pPr>
              <w:jc w:val="both"/>
              <w:rPr>
                <w:rFonts w:asciiTheme="majorHAnsi" w:hAnsiTheme="majorHAnsi"/>
              </w:rPr>
            </w:pPr>
          </w:p>
          <w:p w:rsidR="00BA6344" w:rsidRPr="00BA6344" w:rsidRDefault="00BA6344" w:rsidP="00BA6344">
            <w:pPr>
              <w:jc w:val="both"/>
              <w:rPr>
                <w:rFonts w:asciiTheme="majorHAnsi" w:hAnsiTheme="majorHAnsi"/>
                <w:u w:val="single"/>
              </w:rPr>
            </w:pPr>
            <w:r w:rsidRPr="00BA6344">
              <w:rPr>
                <w:rFonts w:asciiTheme="majorHAnsi" w:hAnsiTheme="majorHAnsi"/>
                <w:u w:val="single"/>
              </w:rPr>
              <w:t>CRO 3</w:t>
            </w:r>
          </w:p>
          <w:p w:rsidR="00BA6344" w:rsidRPr="00BA6344" w:rsidRDefault="00BA6344" w:rsidP="00BA6344">
            <w:pPr>
              <w:jc w:val="both"/>
              <w:rPr>
                <w:rFonts w:asciiTheme="majorHAnsi" w:hAnsiTheme="majorHAnsi"/>
              </w:rPr>
            </w:pPr>
            <w:r w:rsidRPr="00BA6344">
              <w:rPr>
                <w:rFonts w:asciiTheme="majorHAnsi" w:hAnsiTheme="majorHAnsi"/>
              </w:rPr>
              <w:t>Si conferma quanto previsto dal CSA e dal disciplinare di gara</w:t>
            </w:r>
          </w:p>
          <w:p w:rsidR="00BA6344" w:rsidRDefault="00BA6344" w:rsidP="00BA6344">
            <w:pPr>
              <w:rPr>
                <w:color w:val="1F497D"/>
              </w:rPr>
            </w:pPr>
          </w:p>
          <w:p w:rsidR="00BA6344" w:rsidRDefault="00BA6344" w:rsidP="00BA6344">
            <w:pPr>
              <w:rPr>
                <w:color w:val="FF0000"/>
              </w:rPr>
            </w:pPr>
          </w:p>
          <w:p w:rsidR="00BA6344" w:rsidRDefault="00BA6344" w:rsidP="00BA6344">
            <w:pPr>
              <w:rPr>
                <w:color w:val="FF0000"/>
              </w:rPr>
            </w:pPr>
          </w:p>
          <w:p w:rsidR="00BA6344" w:rsidRDefault="00BA6344" w:rsidP="00BA6344">
            <w:pPr>
              <w:rPr>
                <w:color w:val="FF0000"/>
              </w:rPr>
            </w:pPr>
          </w:p>
          <w:p w:rsidR="00BA6344" w:rsidRPr="00BA6344" w:rsidRDefault="00BA6344" w:rsidP="00BA6344">
            <w:pPr>
              <w:jc w:val="both"/>
              <w:rPr>
                <w:rFonts w:asciiTheme="majorHAnsi" w:hAnsiTheme="majorHAnsi"/>
                <w:u w:val="single"/>
              </w:rPr>
            </w:pPr>
            <w:r>
              <w:rPr>
                <w:rFonts w:asciiTheme="majorHAnsi" w:hAnsiTheme="majorHAnsi"/>
                <w:u w:val="single"/>
              </w:rPr>
              <w:lastRenderedPageBreak/>
              <w:t>CRO 4</w:t>
            </w:r>
          </w:p>
          <w:p w:rsidR="00BA6344" w:rsidRPr="00BA6344" w:rsidRDefault="00BA6344" w:rsidP="00BA6344">
            <w:pPr>
              <w:rPr>
                <w:rFonts w:asciiTheme="majorHAnsi" w:hAnsiTheme="majorHAnsi"/>
              </w:rPr>
            </w:pPr>
          </w:p>
          <w:p w:rsidR="00B37A74" w:rsidRPr="00BA6344" w:rsidRDefault="00BA6344" w:rsidP="00BA6344">
            <w:pPr>
              <w:rPr>
                <w:rFonts w:asciiTheme="majorHAnsi" w:hAnsiTheme="majorHAnsi"/>
                <w:u w:val="single"/>
              </w:rPr>
            </w:pPr>
            <w:r w:rsidRPr="00BA6344">
              <w:rPr>
                <w:rFonts w:asciiTheme="majorHAnsi" w:hAnsiTheme="majorHAnsi"/>
              </w:rPr>
              <w:t>Si conferma quanto richiesto nel CSA e dal disciplinare di gara</w:t>
            </w:r>
          </w:p>
          <w:p w:rsidR="00B37A74" w:rsidRPr="00BA6344" w:rsidRDefault="00B37A74" w:rsidP="00B37A74">
            <w:pPr>
              <w:rPr>
                <w:rFonts w:asciiTheme="majorHAnsi" w:hAnsiTheme="majorHAnsi"/>
                <w:u w:val="single"/>
              </w:rPr>
            </w:pPr>
          </w:p>
          <w:p w:rsidR="00D72A46" w:rsidRDefault="00D72A46" w:rsidP="00BA6344">
            <w:pPr>
              <w:rPr>
                <w:rFonts w:asciiTheme="majorHAnsi" w:hAnsiTheme="majorHAnsi"/>
                <w:highlight w:val="yellow"/>
                <w:u w:val="single"/>
              </w:rPr>
            </w:pPr>
          </w:p>
          <w:p w:rsidR="00D72A46" w:rsidRDefault="00D72A46" w:rsidP="00BA6344">
            <w:pPr>
              <w:rPr>
                <w:rFonts w:asciiTheme="majorHAnsi" w:hAnsiTheme="majorHAnsi"/>
                <w:highlight w:val="yellow"/>
                <w:u w:val="single"/>
              </w:rPr>
            </w:pPr>
          </w:p>
          <w:p w:rsidR="00BA6344" w:rsidRPr="00D72A46" w:rsidRDefault="00BA6344" w:rsidP="00BA6344">
            <w:pPr>
              <w:rPr>
                <w:rFonts w:asciiTheme="majorHAnsi" w:hAnsiTheme="majorHAnsi"/>
                <w:u w:val="single"/>
              </w:rPr>
            </w:pPr>
            <w:r w:rsidRPr="00D72A46">
              <w:rPr>
                <w:rFonts w:asciiTheme="majorHAnsi" w:hAnsiTheme="majorHAnsi"/>
                <w:u w:val="single"/>
              </w:rPr>
              <w:t>LOTTO 2</w:t>
            </w:r>
          </w:p>
          <w:p w:rsidR="00BA6344" w:rsidRPr="00D72A46" w:rsidRDefault="00BA6344" w:rsidP="00BA6344">
            <w:pPr>
              <w:rPr>
                <w:rFonts w:asciiTheme="majorHAnsi" w:hAnsiTheme="majorHAnsi"/>
                <w:u w:val="single"/>
              </w:rPr>
            </w:pPr>
            <w:r w:rsidRPr="00D72A46">
              <w:rPr>
                <w:rFonts w:asciiTheme="majorHAnsi" w:hAnsiTheme="majorHAnsi"/>
                <w:u w:val="single"/>
              </w:rPr>
              <w:t>ASUIUD 1</w:t>
            </w:r>
          </w:p>
          <w:p w:rsidR="00BA6344" w:rsidRPr="00D72A46" w:rsidRDefault="00D72A46" w:rsidP="00B37A74">
            <w:pPr>
              <w:rPr>
                <w:rFonts w:asciiTheme="majorHAnsi" w:hAnsiTheme="majorHAnsi"/>
              </w:rPr>
            </w:pPr>
            <w:r w:rsidRPr="00D72A46">
              <w:rPr>
                <w:rFonts w:asciiTheme="majorHAnsi" w:hAnsiTheme="majorHAnsi"/>
              </w:rPr>
              <w:t xml:space="preserve">Si conferma che verranno </w:t>
            </w:r>
            <w:proofErr w:type="spellStart"/>
            <w:r w:rsidRPr="00D72A46">
              <w:rPr>
                <w:rFonts w:asciiTheme="majorHAnsi" w:hAnsiTheme="majorHAnsi"/>
              </w:rPr>
              <w:t>conseganti</w:t>
            </w:r>
            <w:proofErr w:type="spellEnd"/>
            <w:r w:rsidRPr="00D72A46">
              <w:rPr>
                <w:rFonts w:asciiTheme="majorHAnsi" w:hAnsiTheme="majorHAnsi"/>
              </w:rPr>
              <w:t xml:space="preserve"> in sede di sopralluogo</w:t>
            </w:r>
          </w:p>
          <w:p w:rsidR="00B37A74" w:rsidRPr="00D72A46" w:rsidRDefault="00B37A74" w:rsidP="00B37A74">
            <w:pPr>
              <w:rPr>
                <w:rFonts w:asciiTheme="majorHAnsi" w:hAnsiTheme="majorHAnsi"/>
              </w:rPr>
            </w:pPr>
          </w:p>
          <w:p w:rsidR="00BA6344" w:rsidRDefault="00BA6344" w:rsidP="00B37A74">
            <w:pPr>
              <w:rPr>
                <w:rFonts w:asciiTheme="majorHAnsi" w:hAnsiTheme="majorHAnsi"/>
                <w:highlight w:val="yellow"/>
              </w:rPr>
            </w:pPr>
          </w:p>
          <w:p w:rsidR="00D72A46" w:rsidRDefault="00D72A46" w:rsidP="00BA6344">
            <w:pPr>
              <w:rPr>
                <w:rFonts w:asciiTheme="majorHAnsi" w:hAnsiTheme="majorHAnsi"/>
                <w:u w:val="single"/>
              </w:rPr>
            </w:pPr>
          </w:p>
          <w:p w:rsidR="00D72A46" w:rsidRDefault="00D72A46" w:rsidP="00BA6344">
            <w:pPr>
              <w:rPr>
                <w:rFonts w:asciiTheme="majorHAnsi" w:hAnsiTheme="majorHAnsi"/>
                <w:u w:val="single"/>
              </w:rPr>
            </w:pPr>
          </w:p>
          <w:p w:rsidR="00D72A46" w:rsidRDefault="00D72A46" w:rsidP="00BA6344">
            <w:pPr>
              <w:rPr>
                <w:rFonts w:asciiTheme="majorHAnsi" w:hAnsiTheme="majorHAnsi"/>
                <w:u w:val="single"/>
              </w:rPr>
            </w:pPr>
          </w:p>
          <w:p w:rsidR="00D72A46" w:rsidRDefault="00D72A46" w:rsidP="00BA6344">
            <w:pPr>
              <w:rPr>
                <w:rFonts w:asciiTheme="majorHAnsi" w:hAnsiTheme="majorHAnsi"/>
                <w:u w:val="single"/>
              </w:rPr>
            </w:pPr>
          </w:p>
          <w:p w:rsidR="00BA6344" w:rsidRPr="003E3D22" w:rsidRDefault="00BA6344" w:rsidP="00BA6344">
            <w:pPr>
              <w:rPr>
                <w:rFonts w:asciiTheme="majorHAnsi" w:hAnsiTheme="majorHAnsi"/>
                <w:u w:val="single"/>
              </w:rPr>
            </w:pPr>
            <w:r w:rsidRPr="003E3D22">
              <w:rPr>
                <w:rFonts w:asciiTheme="majorHAnsi" w:hAnsiTheme="majorHAnsi"/>
                <w:u w:val="single"/>
              </w:rPr>
              <w:t>ASUIUD 2</w:t>
            </w:r>
          </w:p>
          <w:p w:rsidR="00BA6344" w:rsidRPr="00BA6344" w:rsidRDefault="00BA6344" w:rsidP="00B37A74">
            <w:pPr>
              <w:rPr>
                <w:rFonts w:asciiTheme="majorHAnsi" w:hAnsiTheme="majorHAnsi"/>
              </w:rPr>
            </w:pPr>
            <w:r w:rsidRPr="00BA6344">
              <w:rPr>
                <w:rFonts w:asciiTheme="majorHAnsi" w:hAnsiTheme="majorHAnsi"/>
              </w:rPr>
              <w:t>Vedere risposta CRO</w:t>
            </w:r>
          </w:p>
          <w:p w:rsidR="00B37A74" w:rsidRDefault="00B37A74" w:rsidP="00B37A74">
            <w:pPr>
              <w:rPr>
                <w:rFonts w:asciiTheme="majorHAnsi" w:hAnsiTheme="majorHAnsi"/>
                <w:highlight w:val="yellow"/>
              </w:rPr>
            </w:pPr>
          </w:p>
          <w:p w:rsidR="00B37A74" w:rsidRDefault="00B37A74" w:rsidP="00B37A74">
            <w:pPr>
              <w:rPr>
                <w:rFonts w:asciiTheme="majorHAnsi" w:hAnsiTheme="majorHAnsi"/>
                <w:highlight w:val="yellow"/>
              </w:rPr>
            </w:pPr>
          </w:p>
          <w:p w:rsidR="00B37A74" w:rsidRPr="0037765A" w:rsidRDefault="00B37A74" w:rsidP="00B37A74">
            <w:pPr>
              <w:rPr>
                <w:rFonts w:asciiTheme="majorHAnsi" w:hAnsiTheme="majorHAnsi"/>
                <w:highlight w:val="yellow"/>
              </w:rPr>
            </w:pPr>
          </w:p>
        </w:tc>
      </w:tr>
      <w:tr w:rsidR="005801EB" w:rsidRPr="00F67F05" w:rsidTr="00C35DD7">
        <w:tc>
          <w:tcPr>
            <w:tcW w:w="7213" w:type="dxa"/>
          </w:tcPr>
          <w:p w:rsidR="005801EB" w:rsidRPr="00F67F05" w:rsidRDefault="005801EB" w:rsidP="000A137A">
            <w:pPr>
              <w:rPr>
                <w:rFonts w:asciiTheme="majorHAnsi" w:hAnsiTheme="majorHAnsi"/>
              </w:rPr>
            </w:pPr>
            <w:r w:rsidRPr="00F67F05">
              <w:rPr>
                <w:rFonts w:asciiTheme="majorHAnsi" w:hAnsiTheme="majorHAnsi"/>
              </w:rPr>
              <w:lastRenderedPageBreak/>
              <w:t>Quesito n.</w:t>
            </w:r>
            <w:r>
              <w:rPr>
                <w:rFonts w:asciiTheme="majorHAnsi" w:hAnsiTheme="majorHAnsi"/>
              </w:rPr>
              <w:t>6</w:t>
            </w:r>
          </w:p>
        </w:tc>
        <w:tc>
          <w:tcPr>
            <w:tcW w:w="7214" w:type="dxa"/>
          </w:tcPr>
          <w:p w:rsidR="005801EB" w:rsidRPr="00F67F05" w:rsidRDefault="005801EB" w:rsidP="000A137A">
            <w:pPr>
              <w:rPr>
                <w:rFonts w:asciiTheme="majorHAnsi" w:hAnsiTheme="majorHAnsi"/>
              </w:rPr>
            </w:pPr>
            <w:r w:rsidRPr="00F67F05">
              <w:rPr>
                <w:rFonts w:asciiTheme="majorHAnsi" w:hAnsiTheme="majorHAnsi"/>
              </w:rPr>
              <w:t>Risposta n.</w:t>
            </w:r>
            <w:r>
              <w:rPr>
                <w:rFonts w:asciiTheme="majorHAnsi" w:hAnsiTheme="majorHAnsi"/>
              </w:rPr>
              <w:t>6</w:t>
            </w:r>
          </w:p>
        </w:tc>
      </w:tr>
      <w:tr w:rsidR="005801EB" w:rsidRPr="00F67F05" w:rsidTr="00C35DD7">
        <w:tc>
          <w:tcPr>
            <w:tcW w:w="7213" w:type="dxa"/>
          </w:tcPr>
          <w:p w:rsidR="005801EB" w:rsidRPr="005801EB" w:rsidRDefault="005801EB" w:rsidP="003E3D22">
            <w:pPr>
              <w:rPr>
                <w:rFonts w:asciiTheme="majorHAnsi" w:hAnsiTheme="majorHAnsi"/>
              </w:rPr>
            </w:pPr>
            <w:r w:rsidRPr="005801EB">
              <w:rPr>
                <w:rFonts w:asciiTheme="majorHAnsi" w:hAnsiTheme="majorHAnsi"/>
              </w:rPr>
              <w:t>Con riferimento alla gara in oggetto con la presente sottoponiamo alla Vs cortese attenzione la seguente richiesta di chiarimenti:</w:t>
            </w:r>
          </w:p>
          <w:p w:rsidR="005801EB" w:rsidRPr="003E3D22" w:rsidRDefault="005801EB" w:rsidP="003E3D22">
            <w:pPr>
              <w:rPr>
                <w:rFonts w:asciiTheme="majorHAnsi" w:hAnsiTheme="majorHAnsi"/>
                <w:u w:val="single"/>
              </w:rPr>
            </w:pPr>
            <w:r w:rsidRPr="005801EB">
              <w:rPr>
                <w:rFonts w:asciiTheme="majorHAnsi" w:hAnsiTheme="majorHAnsi"/>
              </w:rPr>
              <w:t>in relazione ai requisiti minimi di cui al disciplinare di gara art. 7 “requisiti tecnici e requisiti di capacità tecnica- punto 3- possesso dei requisiti minimi in relazione alla prestazione dei servizi di ingegneria e architettura”, si chiede conferma che tali requisiti possano essere posseduti in capo al professionista esterno che sarà indicato come responsabile del coordinamento e dell’integrazione tra le prestazioni specialistiche, ai sensi dell’art. 24 comma 5 del D.LGS. n. 50/2016, senza necessità che lo stesso faccia parte dell’ATI costituenda</w:t>
            </w:r>
          </w:p>
        </w:tc>
        <w:tc>
          <w:tcPr>
            <w:tcW w:w="7214" w:type="dxa"/>
          </w:tcPr>
          <w:p w:rsidR="00D72A46" w:rsidRDefault="00D72A46" w:rsidP="00D72A46">
            <w:pPr>
              <w:ind w:right="113"/>
              <w:jc w:val="both"/>
            </w:pPr>
            <w:r>
              <w:rPr>
                <w:rFonts w:ascii="Cambria" w:hAnsi="Cambria"/>
              </w:rPr>
              <w:t>Il concorrente potrà</w:t>
            </w:r>
          </w:p>
          <w:p w:rsidR="00D72A46" w:rsidRDefault="00D72A46" w:rsidP="00D72A46">
            <w:pPr>
              <w:ind w:right="113"/>
              <w:jc w:val="both"/>
            </w:pPr>
            <w:r>
              <w:rPr>
                <w:rFonts w:ascii="Cambria" w:hAnsi="Cambria"/>
              </w:rPr>
              <w:t xml:space="preserve">1)      individuare </w:t>
            </w:r>
            <w:r>
              <w:rPr>
                <w:rFonts w:ascii="Cambria" w:hAnsi="Cambria"/>
                <w:u w:val="single"/>
              </w:rPr>
              <w:t>uno o più professionisti</w:t>
            </w:r>
            <w:r>
              <w:rPr>
                <w:rFonts w:ascii="Cambria" w:hAnsi="Cambria"/>
              </w:rPr>
              <w:t xml:space="preserve">, </w:t>
            </w:r>
            <w:r w:rsidRPr="00D72A46">
              <w:rPr>
                <w:rFonts w:ascii="Cambria" w:hAnsi="Cambria"/>
                <w:u w:val="single"/>
              </w:rPr>
              <w:t>elencandoli</w:t>
            </w:r>
            <w:r>
              <w:rPr>
                <w:rFonts w:ascii="Cambria" w:hAnsi="Cambria"/>
              </w:rPr>
              <w:t xml:space="preserve"> in offerta, incaricati ad eseguire le prestazioni professionali,  presentando in sede di offerta tutto quanto richiesto dai documenti di gara;</w:t>
            </w:r>
          </w:p>
          <w:p w:rsidR="005801EB" w:rsidRPr="00B37A74" w:rsidRDefault="00D72A46" w:rsidP="00D72A46">
            <w:pPr>
              <w:rPr>
                <w:rFonts w:asciiTheme="majorHAnsi" w:hAnsiTheme="majorHAnsi"/>
                <w:color w:val="FF0000"/>
                <w:highlight w:val="yellow"/>
              </w:rPr>
            </w:pPr>
            <w:r>
              <w:rPr>
                <w:rFonts w:ascii="Cambria" w:hAnsi="Cambria"/>
              </w:rPr>
              <w:t xml:space="preserve">2)  associarsi in raggruppamento temporaneo </w:t>
            </w:r>
            <w:r>
              <w:rPr>
                <w:rFonts w:ascii="Cambria" w:hAnsi="Cambria"/>
                <w:u w:val="single"/>
              </w:rPr>
              <w:t>con i professionisti,  studi associati , società di professionisti o società di ingegneria …</w:t>
            </w:r>
            <w:r>
              <w:rPr>
                <w:rFonts w:ascii="Cambria" w:hAnsi="Cambria"/>
              </w:rPr>
              <w:t xml:space="preserve"> presentando in sede di offerta, unitamente agli altri documenti, l’intenzione di costituire un RTI.</w:t>
            </w:r>
          </w:p>
        </w:tc>
      </w:tr>
      <w:tr w:rsidR="00776B01" w:rsidRPr="00F67F05" w:rsidTr="00C35DD7">
        <w:tc>
          <w:tcPr>
            <w:tcW w:w="7213" w:type="dxa"/>
          </w:tcPr>
          <w:p w:rsidR="00776B01" w:rsidRPr="00F67F05" w:rsidRDefault="00776B01" w:rsidP="000A137A">
            <w:pPr>
              <w:rPr>
                <w:rFonts w:asciiTheme="majorHAnsi" w:hAnsiTheme="majorHAnsi"/>
              </w:rPr>
            </w:pPr>
            <w:r w:rsidRPr="00F67F05">
              <w:rPr>
                <w:rFonts w:asciiTheme="majorHAnsi" w:hAnsiTheme="majorHAnsi"/>
              </w:rPr>
              <w:t>Quesito n.</w:t>
            </w:r>
            <w:r>
              <w:rPr>
                <w:rFonts w:asciiTheme="majorHAnsi" w:hAnsiTheme="majorHAnsi"/>
              </w:rPr>
              <w:t>7</w:t>
            </w:r>
          </w:p>
        </w:tc>
        <w:tc>
          <w:tcPr>
            <w:tcW w:w="7214" w:type="dxa"/>
          </w:tcPr>
          <w:p w:rsidR="00776B01" w:rsidRPr="00F67F05" w:rsidRDefault="00776B01" w:rsidP="000A137A">
            <w:pPr>
              <w:rPr>
                <w:rFonts w:asciiTheme="majorHAnsi" w:hAnsiTheme="majorHAnsi"/>
              </w:rPr>
            </w:pPr>
            <w:r w:rsidRPr="00F67F05">
              <w:rPr>
                <w:rFonts w:asciiTheme="majorHAnsi" w:hAnsiTheme="majorHAnsi"/>
              </w:rPr>
              <w:t>Risposta n.</w:t>
            </w:r>
            <w:r>
              <w:rPr>
                <w:rFonts w:asciiTheme="majorHAnsi" w:hAnsiTheme="majorHAnsi"/>
              </w:rPr>
              <w:t>7</w:t>
            </w:r>
          </w:p>
        </w:tc>
      </w:tr>
      <w:tr w:rsidR="00776B01" w:rsidRPr="00F67F05" w:rsidTr="00C35DD7">
        <w:tc>
          <w:tcPr>
            <w:tcW w:w="7213" w:type="dxa"/>
          </w:tcPr>
          <w:p w:rsidR="00776B01" w:rsidRDefault="00776B01" w:rsidP="003E3D22">
            <w:pPr>
              <w:rPr>
                <w:rFonts w:asciiTheme="majorHAnsi" w:hAnsiTheme="majorHAnsi"/>
              </w:rPr>
            </w:pPr>
            <w:r>
              <w:rPr>
                <w:rFonts w:asciiTheme="majorHAnsi" w:hAnsiTheme="majorHAnsi"/>
              </w:rPr>
              <w:lastRenderedPageBreak/>
              <w:t>Con riferimento alla gara in oggetto per la quale è prevista la consegna dei plichi entro le ore 12.00 del 17-10-2016, chiediamo che il termine ultimo per la presentazione delle offerte venga prorogato di almeno 15 giorni.</w:t>
            </w:r>
          </w:p>
          <w:p w:rsidR="00776B01" w:rsidRDefault="00776B01" w:rsidP="003E3D22">
            <w:pPr>
              <w:rPr>
                <w:rFonts w:asciiTheme="majorHAnsi" w:hAnsiTheme="majorHAnsi"/>
              </w:rPr>
            </w:pPr>
            <w:r>
              <w:rPr>
                <w:rFonts w:asciiTheme="majorHAnsi" w:hAnsiTheme="majorHAnsi"/>
              </w:rPr>
              <w:t>Questa ns richiesta è motivata dalla complessità della gara stessa con particolare riferimento alla parte edile ed impiantistica che richiede una accurata serie di indagini.</w:t>
            </w:r>
          </w:p>
          <w:p w:rsidR="00776B01" w:rsidRPr="005801EB" w:rsidRDefault="00776B01" w:rsidP="00B37A74">
            <w:pPr>
              <w:rPr>
                <w:rFonts w:asciiTheme="majorHAnsi" w:hAnsiTheme="majorHAnsi"/>
              </w:rPr>
            </w:pPr>
            <w:r>
              <w:rPr>
                <w:rFonts w:asciiTheme="majorHAnsi" w:hAnsiTheme="majorHAnsi"/>
              </w:rPr>
              <w:t xml:space="preserve">Nella speranza che la nostra richiesta venga accolta e di poter così presentare un progetto dettagliato ed esauriente, restiamo in attesa di un </w:t>
            </w:r>
          </w:p>
        </w:tc>
        <w:tc>
          <w:tcPr>
            <w:tcW w:w="7214" w:type="dxa"/>
          </w:tcPr>
          <w:p w:rsidR="00776B01" w:rsidRPr="00D72A46" w:rsidRDefault="00B37A74" w:rsidP="007D7A26">
            <w:pPr>
              <w:rPr>
                <w:rFonts w:asciiTheme="majorHAnsi" w:hAnsiTheme="majorHAnsi"/>
                <w:highlight w:val="yellow"/>
              </w:rPr>
            </w:pPr>
            <w:r w:rsidRPr="00D72A46">
              <w:rPr>
                <w:rFonts w:asciiTheme="majorHAnsi" w:hAnsiTheme="majorHAnsi"/>
              </w:rPr>
              <w:t xml:space="preserve">Non sussitono motivazioni per prorogare i termini (per la presentazione delle offerte sono stati concessi </w:t>
            </w:r>
            <w:r w:rsidR="007D7A26" w:rsidRPr="00D72A46">
              <w:rPr>
                <w:rFonts w:asciiTheme="majorHAnsi" w:hAnsiTheme="majorHAnsi"/>
              </w:rPr>
              <w:t>75</w:t>
            </w:r>
            <w:r w:rsidRPr="00D72A46">
              <w:rPr>
                <w:rFonts w:asciiTheme="majorHAnsi" w:hAnsiTheme="majorHAnsi"/>
              </w:rPr>
              <w:t xml:space="preserve"> </w:t>
            </w:r>
            <w:r w:rsidR="007D7A26" w:rsidRPr="00D72A46">
              <w:rPr>
                <w:rFonts w:asciiTheme="majorHAnsi" w:hAnsiTheme="majorHAnsi"/>
              </w:rPr>
              <w:t>giorni dalla data di pubblicazione del bando GUCE)</w:t>
            </w:r>
            <w:r w:rsidRPr="00D72A46">
              <w:rPr>
                <w:rFonts w:asciiTheme="majorHAnsi" w:hAnsiTheme="majorHAnsi"/>
              </w:rPr>
              <w:t xml:space="preserve"> </w:t>
            </w:r>
          </w:p>
        </w:tc>
      </w:tr>
      <w:tr w:rsidR="00D811A4" w:rsidRPr="00D811A4" w:rsidTr="00C35DD7">
        <w:tc>
          <w:tcPr>
            <w:tcW w:w="7213" w:type="dxa"/>
          </w:tcPr>
          <w:p w:rsidR="00D811A4" w:rsidRPr="00D811A4" w:rsidRDefault="00D811A4" w:rsidP="003E3D22">
            <w:pPr>
              <w:rPr>
                <w:rFonts w:asciiTheme="majorHAnsi" w:hAnsiTheme="majorHAnsi"/>
              </w:rPr>
            </w:pPr>
            <w:r w:rsidRPr="00D811A4">
              <w:rPr>
                <w:rFonts w:asciiTheme="majorHAnsi" w:hAnsiTheme="majorHAnsi"/>
              </w:rPr>
              <w:t>Precisazione</w:t>
            </w:r>
            <w:r w:rsidR="00D72A46">
              <w:rPr>
                <w:rFonts w:asciiTheme="majorHAnsi" w:hAnsiTheme="majorHAnsi"/>
              </w:rPr>
              <w:t>:</w:t>
            </w:r>
          </w:p>
        </w:tc>
        <w:tc>
          <w:tcPr>
            <w:tcW w:w="7214" w:type="dxa"/>
          </w:tcPr>
          <w:p w:rsidR="00D811A4" w:rsidRPr="00D811A4" w:rsidRDefault="00D811A4" w:rsidP="007D7A26">
            <w:pPr>
              <w:rPr>
                <w:rFonts w:asciiTheme="majorHAnsi" w:hAnsiTheme="majorHAnsi"/>
              </w:rPr>
            </w:pPr>
          </w:p>
        </w:tc>
      </w:tr>
      <w:tr w:rsidR="00D72A46" w:rsidRPr="00D811A4" w:rsidTr="00D72A46">
        <w:tc>
          <w:tcPr>
            <w:tcW w:w="14427" w:type="dxa"/>
            <w:gridSpan w:val="2"/>
          </w:tcPr>
          <w:p w:rsidR="00D72A46" w:rsidRPr="00D811A4" w:rsidRDefault="00D72A46" w:rsidP="00D811A4">
            <w:pPr>
              <w:rPr>
                <w:rFonts w:asciiTheme="majorHAnsi" w:hAnsiTheme="majorHAnsi"/>
              </w:rPr>
            </w:pPr>
            <w:r>
              <w:rPr>
                <w:rFonts w:asciiTheme="majorHAnsi" w:hAnsiTheme="majorHAnsi"/>
              </w:rPr>
              <w:t>In riferimento alla documentazione pubblicata, causa refusi si modificano le seguenti parti del CSA:</w:t>
            </w:r>
          </w:p>
          <w:p w:rsidR="00D72A46" w:rsidRPr="00D811A4" w:rsidRDefault="00D72A46" w:rsidP="00D811A4">
            <w:pPr>
              <w:pStyle w:val="Paragrafoelenco"/>
              <w:numPr>
                <w:ilvl w:val="0"/>
                <w:numId w:val="1"/>
              </w:numPr>
              <w:rPr>
                <w:rFonts w:asciiTheme="majorHAnsi" w:hAnsiTheme="majorHAnsi"/>
              </w:rPr>
            </w:pPr>
            <w:r w:rsidRPr="00D811A4">
              <w:rPr>
                <w:rFonts w:asciiTheme="majorHAnsi" w:hAnsiTheme="majorHAnsi"/>
              </w:rPr>
              <w:t xml:space="preserve">lotto 2, a pag 32 primo riquadro in alto, l’ultimo requisito: </w:t>
            </w:r>
            <w:r w:rsidRPr="00D811A4">
              <w:rPr>
                <w:rFonts w:asciiTheme="majorHAnsi" w:hAnsiTheme="majorHAnsi"/>
                <w:i/>
                <w:iCs/>
              </w:rPr>
              <w:t>“accuratezza dell’isocentro non superiore a 0,5 mm (raggio della sfera)”</w:t>
            </w:r>
            <w:r w:rsidRPr="00D811A4">
              <w:rPr>
                <w:rFonts w:asciiTheme="majorHAnsi" w:hAnsiTheme="majorHAnsi"/>
              </w:rPr>
              <w:t xml:space="preserve"> deve intendersi corretto come segue: </w:t>
            </w:r>
            <w:r w:rsidRPr="00D811A4">
              <w:rPr>
                <w:rFonts w:asciiTheme="majorHAnsi" w:hAnsiTheme="majorHAnsi"/>
                <w:i/>
                <w:iCs/>
              </w:rPr>
              <w:t>“accuratezza dell’isocentro non superiore a 0,7 mm (raggio della sfera)”</w:t>
            </w:r>
          </w:p>
          <w:p w:rsidR="00D72A46" w:rsidRPr="00D811A4" w:rsidRDefault="00D72A46" w:rsidP="00D811A4">
            <w:pPr>
              <w:pStyle w:val="Paragrafoelenco"/>
              <w:numPr>
                <w:ilvl w:val="0"/>
                <w:numId w:val="1"/>
              </w:numPr>
              <w:rPr>
                <w:rFonts w:asciiTheme="majorHAnsi" w:hAnsiTheme="majorHAnsi"/>
              </w:rPr>
            </w:pPr>
            <w:r w:rsidRPr="00D811A4">
              <w:rPr>
                <w:rFonts w:asciiTheme="majorHAnsi" w:hAnsiTheme="majorHAnsi"/>
              </w:rPr>
              <w:t xml:space="preserve"> lotto 2, a pag 39 secondo riquadro in alto, il requisito: </w:t>
            </w:r>
            <w:r w:rsidRPr="00D811A4">
              <w:rPr>
                <w:rFonts w:asciiTheme="majorHAnsi" w:hAnsiTheme="majorHAnsi"/>
                <w:i/>
                <w:iCs/>
              </w:rPr>
              <w:t xml:space="preserve">“la fornitura deve prevedere la funzionale integrazione delle …. 4DiTC e stazioni di IGRT …, </w:t>
            </w:r>
            <w:r w:rsidRPr="00D811A4">
              <w:rPr>
                <w:rFonts w:asciiTheme="majorHAnsi" w:hAnsiTheme="majorHAnsi"/>
                <w:b/>
                <w:bCs/>
                <w:i/>
                <w:iCs/>
              </w:rPr>
              <w:t xml:space="preserve">WS </w:t>
            </w:r>
            <w:proofErr w:type="spellStart"/>
            <w:r w:rsidRPr="00D811A4">
              <w:rPr>
                <w:rFonts w:asciiTheme="majorHAnsi" w:hAnsiTheme="majorHAnsi"/>
                <w:b/>
                <w:bCs/>
                <w:i/>
                <w:iCs/>
              </w:rPr>
              <w:t>rpm</w:t>
            </w:r>
            <w:proofErr w:type="spellEnd"/>
            <w:r w:rsidRPr="00D811A4">
              <w:rPr>
                <w:rFonts w:asciiTheme="majorHAnsi" w:hAnsiTheme="majorHAnsi"/>
                <w:b/>
                <w:bCs/>
                <w:i/>
                <w:iCs/>
              </w:rPr>
              <w:t xml:space="preserve"> (</w:t>
            </w:r>
            <w:proofErr w:type="spellStart"/>
            <w:r w:rsidRPr="00D811A4">
              <w:rPr>
                <w:rFonts w:asciiTheme="majorHAnsi" w:hAnsiTheme="majorHAnsi"/>
                <w:b/>
                <w:bCs/>
                <w:i/>
                <w:iCs/>
              </w:rPr>
              <w:t>gating</w:t>
            </w:r>
            <w:proofErr w:type="spellEnd"/>
            <w:r w:rsidRPr="00D811A4">
              <w:rPr>
                <w:rFonts w:asciiTheme="majorHAnsi" w:hAnsiTheme="majorHAnsi"/>
                <w:b/>
                <w:bCs/>
                <w:i/>
                <w:iCs/>
              </w:rPr>
              <w:t xml:space="preserve">) a corredo del </w:t>
            </w:r>
            <w:proofErr w:type="spellStart"/>
            <w:r w:rsidRPr="00D811A4">
              <w:rPr>
                <w:rFonts w:asciiTheme="majorHAnsi" w:hAnsiTheme="majorHAnsi"/>
                <w:b/>
                <w:bCs/>
                <w:i/>
                <w:iCs/>
              </w:rPr>
              <w:t>linac</w:t>
            </w:r>
            <w:proofErr w:type="spellEnd"/>
            <w:r w:rsidRPr="00D811A4">
              <w:rPr>
                <w:rFonts w:asciiTheme="majorHAnsi" w:hAnsiTheme="majorHAnsi"/>
                <w:b/>
                <w:bCs/>
                <w:i/>
                <w:iCs/>
              </w:rPr>
              <w:t xml:space="preserve"> iX1</w:t>
            </w:r>
            <w:r w:rsidRPr="00D811A4">
              <w:rPr>
                <w:rFonts w:asciiTheme="majorHAnsi" w:hAnsiTheme="majorHAnsi"/>
                <w:i/>
                <w:iCs/>
              </w:rPr>
              <w:t xml:space="preserve"> con il sistema OIS proposto …. garantita la suddetta integrazione con l’OIS” </w:t>
            </w:r>
            <w:r w:rsidRPr="00D811A4">
              <w:rPr>
                <w:rFonts w:asciiTheme="majorHAnsi" w:hAnsiTheme="majorHAnsi"/>
              </w:rPr>
              <w:t xml:space="preserve">deve intendersi corretto come segue: </w:t>
            </w:r>
            <w:r w:rsidRPr="00D811A4">
              <w:rPr>
                <w:rFonts w:asciiTheme="majorHAnsi" w:hAnsiTheme="majorHAnsi"/>
                <w:i/>
                <w:iCs/>
              </w:rPr>
              <w:t xml:space="preserve">“la fornitura deve prevedere la funzionale </w:t>
            </w:r>
            <w:r w:rsidRPr="00D811A4">
              <w:rPr>
                <w:rFonts w:asciiTheme="majorHAnsi" w:hAnsiTheme="majorHAnsi"/>
                <w:i/>
                <w:iCs/>
                <w:u w:val="single"/>
              </w:rPr>
              <w:t>interazione</w:t>
            </w:r>
            <w:r w:rsidRPr="00D811A4">
              <w:rPr>
                <w:rFonts w:asciiTheme="majorHAnsi" w:hAnsiTheme="majorHAnsi"/>
                <w:i/>
                <w:iCs/>
              </w:rPr>
              <w:t xml:space="preserve"> delle …. 4DiTC e stazioni di IGRT …, WS </w:t>
            </w:r>
            <w:proofErr w:type="spellStart"/>
            <w:r w:rsidRPr="00D811A4">
              <w:rPr>
                <w:rFonts w:asciiTheme="majorHAnsi" w:hAnsiTheme="majorHAnsi"/>
                <w:i/>
                <w:iCs/>
              </w:rPr>
              <w:t>rpm</w:t>
            </w:r>
            <w:proofErr w:type="spellEnd"/>
            <w:r w:rsidRPr="00D811A4">
              <w:rPr>
                <w:rFonts w:asciiTheme="majorHAnsi" w:hAnsiTheme="majorHAnsi"/>
                <w:i/>
                <w:iCs/>
              </w:rPr>
              <w:t xml:space="preserve"> (</w:t>
            </w:r>
            <w:proofErr w:type="spellStart"/>
            <w:r w:rsidRPr="00D811A4">
              <w:rPr>
                <w:rFonts w:asciiTheme="majorHAnsi" w:hAnsiTheme="majorHAnsi"/>
                <w:i/>
                <w:iCs/>
              </w:rPr>
              <w:t>gating</w:t>
            </w:r>
            <w:proofErr w:type="spellEnd"/>
            <w:r w:rsidRPr="00D811A4">
              <w:rPr>
                <w:rFonts w:asciiTheme="majorHAnsi" w:hAnsiTheme="majorHAnsi"/>
                <w:i/>
                <w:iCs/>
              </w:rPr>
              <w:t xml:space="preserve">) a corredo del </w:t>
            </w:r>
            <w:proofErr w:type="spellStart"/>
            <w:r w:rsidRPr="00D811A4">
              <w:rPr>
                <w:rFonts w:asciiTheme="majorHAnsi" w:hAnsiTheme="majorHAnsi"/>
                <w:i/>
                <w:iCs/>
              </w:rPr>
              <w:t>linac</w:t>
            </w:r>
            <w:proofErr w:type="spellEnd"/>
            <w:r w:rsidRPr="00D811A4">
              <w:rPr>
                <w:rFonts w:asciiTheme="majorHAnsi" w:hAnsiTheme="majorHAnsi"/>
                <w:i/>
                <w:iCs/>
              </w:rPr>
              <w:t xml:space="preserve"> iX1 con il sistema OIS proposto …. garantita la suddetta </w:t>
            </w:r>
            <w:r w:rsidRPr="00D811A4">
              <w:rPr>
                <w:rFonts w:asciiTheme="majorHAnsi" w:hAnsiTheme="majorHAnsi"/>
                <w:i/>
                <w:iCs/>
                <w:u w:val="single"/>
              </w:rPr>
              <w:t>interazione</w:t>
            </w:r>
            <w:r w:rsidRPr="00D811A4">
              <w:rPr>
                <w:rFonts w:asciiTheme="majorHAnsi" w:hAnsiTheme="majorHAnsi"/>
                <w:i/>
                <w:iCs/>
              </w:rPr>
              <w:t xml:space="preserve"> con l’OIS”</w:t>
            </w:r>
          </w:p>
          <w:p w:rsidR="00D72A46" w:rsidRPr="00D811A4" w:rsidRDefault="00D72A46" w:rsidP="00D811A4">
            <w:pPr>
              <w:pStyle w:val="Paragrafoelenco"/>
              <w:numPr>
                <w:ilvl w:val="0"/>
                <w:numId w:val="1"/>
              </w:numPr>
              <w:rPr>
                <w:rFonts w:asciiTheme="majorHAnsi" w:hAnsiTheme="majorHAnsi"/>
              </w:rPr>
            </w:pPr>
            <w:r w:rsidRPr="00D811A4">
              <w:rPr>
                <w:rFonts w:asciiTheme="majorHAnsi" w:hAnsiTheme="majorHAnsi"/>
              </w:rPr>
              <w:t xml:space="preserve">lotto 2, a pag 45 nel capitolo 3. Forniture e Servizi aggiuntivi, l’ultimo punto riguardante il “Ritiro e smaltimento ….” deve considerarsi un refuso in quanto ASUIUD non presenta tale necessità </w:t>
            </w:r>
          </w:p>
          <w:p w:rsidR="00D72A46" w:rsidRPr="00D811A4" w:rsidRDefault="00D72A46" w:rsidP="007D7A26">
            <w:pPr>
              <w:rPr>
                <w:rFonts w:asciiTheme="majorHAnsi" w:hAnsiTheme="majorHAnsi"/>
              </w:rPr>
            </w:pPr>
          </w:p>
        </w:tc>
      </w:tr>
    </w:tbl>
    <w:p w:rsidR="00246E68" w:rsidRDefault="00246E68">
      <w:r>
        <w:tab/>
      </w:r>
      <w:r>
        <w:tab/>
      </w:r>
      <w:r>
        <w:tab/>
      </w:r>
      <w:r>
        <w:tab/>
      </w:r>
      <w:r>
        <w:tab/>
      </w:r>
      <w:r>
        <w:tab/>
      </w:r>
      <w:r>
        <w:tab/>
      </w:r>
      <w:r>
        <w:tab/>
      </w:r>
      <w:r>
        <w:tab/>
      </w:r>
      <w:r>
        <w:tab/>
      </w:r>
      <w:r>
        <w:tab/>
      </w:r>
      <w:r>
        <w:tab/>
      </w:r>
      <w:r>
        <w:tab/>
      </w:r>
      <w:r>
        <w:tab/>
      </w:r>
      <w:r>
        <w:tab/>
      </w:r>
      <w:r>
        <w:tab/>
      </w:r>
      <w:r>
        <w:tab/>
      </w:r>
      <w:r>
        <w:tab/>
      </w:r>
      <w:r>
        <w:tab/>
      </w:r>
      <w:r>
        <w:tab/>
      </w:r>
    </w:p>
    <w:tbl>
      <w:tblPr>
        <w:tblStyle w:val="Grigliatabella"/>
        <w:tblW w:w="0" w:type="auto"/>
        <w:tblLayout w:type="fixed"/>
        <w:tblLook w:val="04A0"/>
      </w:tblPr>
      <w:tblGrid>
        <w:gridCol w:w="8188"/>
        <w:gridCol w:w="2493"/>
        <w:gridCol w:w="3822"/>
      </w:tblGrid>
      <w:tr w:rsidR="005433CE" w:rsidRPr="00F67F05" w:rsidTr="00831F3A">
        <w:tc>
          <w:tcPr>
            <w:tcW w:w="10681" w:type="dxa"/>
            <w:gridSpan w:val="2"/>
          </w:tcPr>
          <w:p w:rsidR="005433CE" w:rsidRPr="00F67F05" w:rsidRDefault="005433CE" w:rsidP="00756E3B">
            <w:pPr>
              <w:rPr>
                <w:rFonts w:asciiTheme="majorHAnsi" w:hAnsiTheme="majorHAnsi"/>
              </w:rPr>
            </w:pPr>
            <w:r w:rsidRPr="00F67F05">
              <w:rPr>
                <w:rFonts w:asciiTheme="majorHAnsi" w:hAnsiTheme="majorHAnsi"/>
              </w:rPr>
              <w:t>Quesito n.</w:t>
            </w:r>
            <w:r>
              <w:rPr>
                <w:rFonts w:asciiTheme="majorHAnsi" w:hAnsiTheme="majorHAnsi"/>
              </w:rPr>
              <w:t>8</w:t>
            </w:r>
          </w:p>
        </w:tc>
        <w:tc>
          <w:tcPr>
            <w:tcW w:w="3822" w:type="dxa"/>
          </w:tcPr>
          <w:p w:rsidR="005433CE" w:rsidRPr="00F67F05" w:rsidRDefault="005433CE" w:rsidP="00756E3B">
            <w:pPr>
              <w:rPr>
                <w:rFonts w:asciiTheme="majorHAnsi" w:hAnsiTheme="majorHAnsi"/>
              </w:rPr>
            </w:pPr>
            <w:r w:rsidRPr="00F67F05">
              <w:rPr>
                <w:rFonts w:asciiTheme="majorHAnsi" w:hAnsiTheme="majorHAnsi"/>
              </w:rPr>
              <w:t>Risposta n.</w:t>
            </w:r>
            <w:r>
              <w:rPr>
                <w:rFonts w:asciiTheme="majorHAnsi" w:hAnsiTheme="majorHAnsi"/>
              </w:rPr>
              <w:t>8</w:t>
            </w:r>
          </w:p>
        </w:tc>
      </w:tr>
      <w:tr w:rsidR="005433CE" w:rsidRPr="00F67F05" w:rsidTr="00831F3A">
        <w:tc>
          <w:tcPr>
            <w:tcW w:w="10681" w:type="dxa"/>
            <w:gridSpan w:val="2"/>
          </w:tcPr>
          <w:p w:rsidR="005433CE" w:rsidRPr="00972187" w:rsidRDefault="00972187" w:rsidP="00756E3B">
            <w:pPr>
              <w:rPr>
                <w:rFonts w:ascii="Cambria" w:hAnsi="Cambria"/>
              </w:rPr>
            </w:pPr>
            <w:r>
              <w:rPr>
                <w:rFonts w:ascii="Cambria" w:hAnsi="Cambria"/>
              </w:rPr>
              <w:t>I</w:t>
            </w:r>
            <w:r w:rsidR="005433CE" w:rsidRPr="00972187">
              <w:rPr>
                <w:rFonts w:ascii="Cambria" w:hAnsi="Cambria"/>
              </w:rPr>
              <w:t xml:space="preserve">l sistema PHILIPS </w:t>
            </w:r>
            <w:proofErr w:type="spellStart"/>
            <w:r w:rsidR="005433CE" w:rsidRPr="00972187">
              <w:rPr>
                <w:rFonts w:ascii="Cambria" w:hAnsi="Cambria"/>
              </w:rPr>
              <w:t>TumorLoc</w:t>
            </w:r>
            <w:proofErr w:type="spellEnd"/>
            <w:r w:rsidR="005433CE" w:rsidRPr="00972187">
              <w:rPr>
                <w:rFonts w:ascii="Cambria" w:hAnsi="Cambria"/>
              </w:rPr>
              <w:t xml:space="preserve">, in dotazione alla ASUIUD dal 2009, come indicato nel CAPITOLATO SPECIALE a pag. 27, può essere aggiornato ed espanso a TPS di ultima generazione in grado di soddisfare totalmente i requisiti indicati e che consente, inoltre, la completa effettiva integrazione con il Simulatore CT </w:t>
            </w:r>
            <w:proofErr w:type="spellStart"/>
            <w:r w:rsidR="005433CE" w:rsidRPr="00972187">
              <w:rPr>
                <w:rFonts w:ascii="Cambria" w:hAnsi="Cambria"/>
              </w:rPr>
              <w:t>Brilliance</w:t>
            </w:r>
            <w:proofErr w:type="spellEnd"/>
            <w:r w:rsidR="005433CE" w:rsidRPr="00972187">
              <w:rPr>
                <w:rFonts w:ascii="Cambria" w:hAnsi="Cambria"/>
              </w:rPr>
              <w:t xml:space="preserve"> Big Bore (anche quest’ultimo in dotazione alla ASUIUD dal 2009) a vantaggio dell’intero </w:t>
            </w:r>
            <w:proofErr w:type="spellStart"/>
            <w:r w:rsidR="005433CE" w:rsidRPr="00972187">
              <w:rPr>
                <w:rFonts w:ascii="Cambria" w:hAnsi="Cambria"/>
              </w:rPr>
              <w:t>workflow</w:t>
            </w:r>
            <w:proofErr w:type="spellEnd"/>
            <w:r w:rsidR="005433CE" w:rsidRPr="00972187">
              <w:rPr>
                <w:rFonts w:ascii="Cambria" w:hAnsi="Cambria"/>
              </w:rPr>
              <w:t xml:space="preserve"> clinico.</w:t>
            </w:r>
          </w:p>
          <w:p w:rsidR="005433CE" w:rsidRDefault="005433CE" w:rsidP="00756E3B">
            <w:pPr>
              <w:rPr>
                <w:rFonts w:asciiTheme="majorHAnsi" w:hAnsiTheme="majorHAnsi"/>
              </w:rPr>
            </w:pPr>
            <w:r w:rsidRPr="00972187">
              <w:rPr>
                <w:rFonts w:ascii="Cambria" w:hAnsi="Cambria"/>
              </w:rPr>
              <w:t xml:space="preserve">Chiediamo pertanto conferma che la motivazione per cui tale sistema PHILIPS </w:t>
            </w:r>
            <w:proofErr w:type="spellStart"/>
            <w:r w:rsidRPr="00972187">
              <w:rPr>
                <w:rFonts w:ascii="Cambria" w:hAnsi="Cambria"/>
              </w:rPr>
              <w:t>TumorLoc</w:t>
            </w:r>
            <w:proofErr w:type="spellEnd"/>
            <w:r w:rsidRPr="00972187">
              <w:rPr>
                <w:rFonts w:ascii="Cambria" w:hAnsi="Cambria"/>
              </w:rPr>
              <w:t xml:space="preserve"> non venga citato nella apposita sezione “A. MODULI e/o FUNZIONI e/o DOTAZIONI BASE, RICHIESTI PENA L’ESCLUSIONE“ di pag. 41 del CAPITOLATO SPECIALE sia da attribuirsi ad una semplice svista e che, quindi, l’eventuale proposta di aggiornamento ed espansione di tale sistema PHILIPS </w:t>
            </w:r>
            <w:proofErr w:type="spellStart"/>
            <w:r w:rsidRPr="00972187">
              <w:rPr>
                <w:rFonts w:ascii="Cambria" w:hAnsi="Cambria"/>
              </w:rPr>
              <w:t>TumorLoc</w:t>
            </w:r>
            <w:proofErr w:type="spellEnd"/>
            <w:r w:rsidRPr="00972187">
              <w:rPr>
                <w:rFonts w:ascii="Cambria" w:hAnsi="Cambria"/>
              </w:rPr>
              <w:t xml:space="preserve"> alla soluzione TPS di marca PHILIPS venga positivamente valutata</w:t>
            </w:r>
          </w:p>
        </w:tc>
        <w:tc>
          <w:tcPr>
            <w:tcW w:w="3822" w:type="dxa"/>
          </w:tcPr>
          <w:p w:rsidR="005433CE" w:rsidRPr="007D7A26" w:rsidRDefault="00C56E52" w:rsidP="00756E3B">
            <w:pPr>
              <w:rPr>
                <w:rFonts w:asciiTheme="majorHAnsi" w:hAnsiTheme="majorHAnsi"/>
                <w:color w:val="FF0000"/>
              </w:rPr>
            </w:pPr>
            <w:r>
              <w:rPr>
                <w:rFonts w:ascii="Cambria" w:hAnsi="Cambria"/>
              </w:rPr>
              <w:t xml:space="preserve">Nella sezione “A. </w:t>
            </w:r>
            <w:r>
              <w:rPr>
                <w:rFonts w:ascii="Cambria" w:hAnsi="Cambria"/>
                <w:i/>
                <w:iCs/>
              </w:rPr>
              <w:t>MODULI e/o FUNZIONI e/o DOTAZIONI BASE, RICHIESTI PENA L’ESCLUSIONE</w:t>
            </w:r>
            <w:r>
              <w:rPr>
                <w:rFonts w:ascii="Cambria" w:hAnsi="Cambria"/>
              </w:rPr>
              <w:t>“ di pag. 41 non viene fatto riferimento ad alcun prodotto specifico (se non nel citare quelli già in uso) lasciando libertà al concorrente di proporre le soluzioni che ritiene più confacenti alle esigenze funzionali ed operative, viceversa, ripetutamente indicate nel Capitolato. Il livello di rispondenza delle soluzioni proposte a tali esigenze, oltre al peso della ricaduta delle stesse sull’attività, saranno oggetto di valutazione.</w:t>
            </w:r>
          </w:p>
        </w:tc>
      </w:tr>
      <w:tr w:rsidR="005433CE" w:rsidRPr="00F67F05" w:rsidTr="00831F3A">
        <w:tc>
          <w:tcPr>
            <w:tcW w:w="10681" w:type="dxa"/>
            <w:gridSpan w:val="2"/>
          </w:tcPr>
          <w:p w:rsidR="005433CE" w:rsidRPr="00C56E52" w:rsidRDefault="005433CE" w:rsidP="00756E3B">
            <w:pPr>
              <w:rPr>
                <w:rFonts w:asciiTheme="majorHAnsi" w:hAnsiTheme="majorHAnsi"/>
              </w:rPr>
            </w:pPr>
            <w:r w:rsidRPr="00C56E52">
              <w:rPr>
                <w:rFonts w:asciiTheme="majorHAnsi" w:hAnsiTheme="majorHAnsi"/>
              </w:rPr>
              <w:lastRenderedPageBreak/>
              <w:t>Quesito n.9</w:t>
            </w:r>
          </w:p>
        </w:tc>
        <w:tc>
          <w:tcPr>
            <w:tcW w:w="3822" w:type="dxa"/>
          </w:tcPr>
          <w:p w:rsidR="005433CE" w:rsidRPr="00C56E52" w:rsidRDefault="005433CE" w:rsidP="00756E3B">
            <w:pPr>
              <w:rPr>
                <w:rFonts w:asciiTheme="majorHAnsi" w:hAnsiTheme="majorHAnsi"/>
              </w:rPr>
            </w:pPr>
            <w:r w:rsidRPr="00C56E52">
              <w:rPr>
                <w:rFonts w:asciiTheme="majorHAnsi" w:hAnsiTheme="majorHAnsi"/>
              </w:rPr>
              <w:t>Risposta n.9</w:t>
            </w:r>
          </w:p>
        </w:tc>
      </w:tr>
      <w:tr w:rsidR="005433CE" w:rsidRPr="00F67F05" w:rsidTr="00831F3A">
        <w:tc>
          <w:tcPr>
            <w:tcW w:w="10681" w:type="dxa"/>
            <w:gridSpan w:val="2"/>
          </w:tcPr>
          <w:p w:rsidR="005433CE" w:rsidRPr="00C56E52" w:rsidRDefault="005433CE" w:rsidP="00756E3B">
            <w:pPr>
              <w:rPr>
                <w:rFonts w:asciiTheme="majorHAnsi" w:hAnsiTheme="majorHAnsi"/>
              </w:rPr>
            </w:pPr>
            <w:r w:rsidRPr="00C56E52">
              <w:rPr>
                <w:rFonts w:asciiTheme="majorHAnsi" w:hAnsiTheme="majorHAnsi"/>
              </w:rPr>
              <w:t>Con riferimento alla procedura di gara in oggetto si rende noto che la documentazione tecnica ad integrazione della parte informatica riferita al Lotto 1 e richiesta più volte formalmente dalla scrivente,  è stata pubblicata sul sito EGAS in data 20/9/16. </w:t>
            </w:r>
          </w:p>
          <w:p w:rsidR="005433CE" w:rsidRPr="00C56E52" w:rsidRDefault="005433CE" w:rsidP="00756E3B">
            <w:pPr>
              <w:rPr>
                <w:rFonts w:asciiTheme="majorHAnsi" w:hAnsiTheme="majorHAnsi"/>
              </w:rPr>
            </w:pPr>
          </w:p>
          <w:p w:rsidR="005433CE" w:rsidRPr="00C56E52" w:rsidRDefault="005433CE" w:rsidP="00756E3B">
            <w:pPr>
              <w:rPr>
                <w:rFonts w:asciiTheme="majorHAnsi" w:hAnsiTheme="majorHAnsi"/>
              </w:rPr>
            </w:pPr>
            <w:r w:rsidRPr="00C56E52">
              <w:rPr>
                <w:rFonts w:asciiTheme="majorHAnsi" w:hAnsiTheme="majorHAnsi"/>
              </w:rPr>
              <w:t xml:space="preserve">Tale documentazione risulta tuttora insufficiente e </w:t>
            </w:r>
            <w:r w:rsidRPr="00C56E52">
              <w:rPr>
                <w:rFonts w:asciiTheme="majorHAnsi" w:hAnsiTheme="majorHAnsi"/>
                <w:b/>
              </w:rPr>
              <w:t>non ci consente</w:t>
            </w:r>
            <w:r w:rsidRPr="00C56E52">
              <w:rPr>
                <w:rFonts w:asciiTheme="majorHAnsi" w:hAnsiTheme="majorHAnsi"/>
              </w:rPr>
              <w:t xml:space="preserve"> di  poter formulare un’offerta economica conforme,  in quanto ad oggi mancano degli elementi fondamentali per poter procedere con l’analisi della realtà attuale e la successiva formulazione di una proposta tecnico-economica </w:t>
            </w:r>
            <w:r w:rsidRPr="00C56E52">
              <w:rPr>
                <w:rFonts w:asciiTheme="majorHAnsi" w:hAnsiTheme="majorHAnsi"/>
                <w:u w:val="single"/>
              </w:rPr>
              <w:t>adeguata alla richiesta del capitolato</w:t>
            </w:r>
            <w:r w:rsidRPr="00C56E52">
              <w:rPr>
                <w:rFonts w:asciiTheme="majorHAnsi" w:hAnsiTheme="majorHAnsi"/>
              </w:rPr>
              <w:t>, elementi che saranno oggetto di una prossima richiesta di chiarimenti.</w:t>
            </w:r>
          </w:p>
          <w:p w:rsidR="005433CE" w:rsidRPr="00C56E52" w:rsidRDefault="005433CE" w:rsidP="00756E3B">
            <w:pPr>
              <w:rPr>
                <w:rFonts w:asciiTheme="majorHAnsi" w:hAnsiTheme="majorHAnsi"/>
              </w:rPr>
            </w:pPr>
          </w:p>
          <w:p w:rsidR="005433CE" w:rsidRPr="00C56E52" w:rsidRDefault="005433CE" w:rsidP="00756E3B">
            <w:pPr>
              <w:rPr>
                <w:rFonts w:asciiTheme="majorHAnsi" w:hAnsiTheme="majorHAnsi"/>
              </w:rPr>
            </w:pPr>
            <w:r w:rsidRPr="00C56E52">
              <w:rPr>
                <w:rFonts w:asciiTheme="majorHAnsi" w:hAnsiTheme="majorHAnsi"/>
              </w:rPr>
              <w:t>Per questo motivo siamo a chiedere che il termine ultimo per la presentazione delle offerte, previsto per le ore 12.00 del 17/10/2016 venga prorogato di almeno 20 giorni.</w:t>
            </w:r>
          </w:p>
          <w:p w:rsidR="005433CE" w:rsidRPr="00C56E52" w:rsidRDefault="005433CE" w:rsidP="00756E3B">
            <w:pPr>
              <w:rPr>
                <w:rFonts w:asciiTheme="majorHAnsi" w:hAnsiTheme="majorHAnsi"/>
              </w:rPr>
            </w:pPr>
          </w:p>
          <w:p w:rsidR="005433CE" w:rsidRPr="00C56E52" w:rsidRDefault="005433CE" w:rsidP="00756E3B">
            <w:pPr>
              <w:rPr>
                <w:rFonts w:asciiTheme="majorHAnsi" w:hAnsiTheme="majorHAnsi"/>
              </w:rPr>
            </w:pPr>
            <w:r w:rsidRPr="00C56E52">
              <w:rPr>
                <w:rFonts w:asciiTheme="majorHAnsi" w:hAnsiTheme="majorHAnsi"/>
              </w:rPr>
              <w:t>Ringraziandovi anticipatamente per un vostro cortese riscontro porgiamo distinti saluti</w:t>
            </w:r>
          </w:p>
        </w:tc>
        <w:tc>
          <w:tcPr>
            <w:tcW w:w="3822" w:type="dxa"/>
          </w:tcPr>
          <w:p w:rsidR="00C56E52" w:rsidRPr="00C56E52" w:rsidRDefault="00C56E52" w:rsidP="00C56E52">
            <w:pPr>
              <w:contextualSpacing/>
              <w:rPr>
                <w:rFonts w:asciiTheme="majorHAnsi" w:hAnsiTheme="majorHAnsi"/>
              </w:rPr>
            </w:pPr>
            <w:r w:rsidRPr="00C56E52">
              <w:rPr>
                <w:rFonts w:asciiTheme="majorHAnsi" w:hAnsiTheme="majorHAnsi"/>
              </w:rPr>
              <w:t xml:space="preserve">I termini per la presentazione delle offerte, vengono prorogati al giorno </w:t>
            </w:r>
            <w:r w:rsidRPr="00C56E52">
              <w:rPr>
                <w:rFonts w:asciiTheme="majorHAnsi" w:hAnsiTheme="majorHAnsi"/>
                <w:b/>
              </w:rPr>
              <w:t>31/10/2016 ore 12.00</w:t>
            </w:r>
            <w:r w:rsidRPr="00C56E52">
              <w:rPr>
                <w:rFonts w:asciiTheme="majorHAnsi" w:hAnsiTheme="majorHAnsi"/>
              </w:rPr>
              <w:t xml:space="preserve">. Seguirà comunicazione formale sul sito EGAS e sulla Gazzetta ufficiale nei prossimi giorni. </w:t>
            </w:r>
            <w:r w:rsidRPr="00C56E52">
              <w:rPr>
                <w:rFonts w:asciiTheme="majorHAnsi" w:hAnsiTheme="majorHAnsi"/>
                <w:u w:val="single"/>
              </w:rPr>
              <w:t>Rimane comunque invariato il termine per la richiesta dei chiarimenti fissato per il giorno 07/10/2016</w:t>
            </w:r>
          </w:p>
          <w:p w:rsidR="005433CE" w:rsidRPr="00C56E52" w:rsidRDefault="005433CE" w:rsidP="00756E3B">
            <w:pPr>
              <w:rPr>
                <w:rFonts w:asciiTheme="majorHAnsi" w:hAnsiTheme="majorHAnsi"/>
              </w:rPr>
            </w:pPr>
          </w:p>
        </w:tc>
      </w:tr>
      <w:tr w:rsidR="00C56E52" w:rsidRPr="00F67F05" w:rsidTr="00831F3A">
        <w:tc>
          <w:tcPr>
            <w:tcW w:w="10681" w:type="dxa"/>
            <w:gridSpan w:val="2"/>
          </w:tcPr>
          <w:p w:rsidR="00C56E52" w:rsidRPr="00AB4C01" w:rsidRDefault="00C56E52" w:rsidP="00756E3B">
            <w:pPr>
              <w:rPr>
                <w:rFonts w:asciiTheme="majorHAnsi" w:hAnsiTheme="majorHAnsi"/>
              </w:rPr>
            </w:pPr>
          </w:p>
        </w:tc>
        <w:tc>
          <w:tcPr>
            <w:tcW w:w="3822" w:type="dxa"/>
          </w:tcPr>
          <w:p w:rsidR="00C56E52" w:rsidRPr="007D7A26" w:rsidRDefault="00C56E52" w:rsidP="00756E3B">
            <w:pPr>
              <w:rPr>
                <w:rFonts w:asciiTheme="majorHAnsi" w:hAnsiTheme="majorHAnsi"/>
                <w:color w:val="FF0000"/>
              </w:rPr>
            </w:pPr>
          </w:p>
        </w:tc>
      </w:tr>
      <w:tr w:rsidR="00C56E52" w:rsidRPr="00F67F05" w:rsidTr="00831F3A">
        <w:tc>
          <w:tcPr>
            <w:tcW w:w="14503" w:type="dxa"/>
            <w:gridSpan w:val="3"/>
          </w:tcPr>
          <w:p w:rsidR="00C56E52" w:rsidRPr="003F5136" w:rsidRDefault="00C56E52" w:rsidP="00C56E52">
            <w:pPr>
              <w:rPr>
                <w:rFonts w:asciiTheme="majorHAnsi" w:hAnsiTheme="majorHAnsi"/>
                <w:b/>
              </w:rPr>
            </w:pPr>
            <w:r w:rsidRPr="00C56E52">
              <w:rPr>
                <w:rFonts w:asciiTheme="majorHAnsi" w:hAnsiTheme="majorHAnsi"/>
                <w:b/>
              </w:rPr>
              <w:t>LOTTO 2 (ASUIUD) - ULTERIORI ELEMENTI DI CHIARIMENTO E PRECISAZIONE RISPETTO AL CAPITOLATO DI GARA</w:t>
            </w:r>
          </w:p>
          <w:p w:rsidR="00C56E52" w:rsidRPr="00C56E52" w:rsidRDefault="00C56E52" w:rsidP="00C56E52">
            <w:pPr>
              <w:pStyle w:val="Paragrafoelenco"/>
              <w:numPr>
                <w:ilvl w:val="0"/>
                <w:numId w:val="2"/>
              </w:numPr>
              <w:spacing w:after="200" w:line="276" w:lineRule="auto"/>
              <w:contextualSpacing/>
              <w:rPr>
                <w:rFonts w:asciiTheme="majorHAnsi" w:hAnsiTheme="majorHAnsi"/>
              </w:rPr>
            </w:pPr>
            <w:r w:rsidRPr="00C56E52">
              <w:rPr>
                <w:rFonts w:asciiTheme="majorHAnsi" w:hAnsiTheme="majorHAnsi"/>
              </w:rPr>
              <w:t>Al capitolo 2 (“</w:t>
            </w:r>
            <w:r w:rsidRPr="00C56E52">
              <w:rPr>
                <w:rFonts w:asciiTheme="majorHAnsi" w:hAnsiTheme="majorHAnsi"/>
                <w:i/>
              </w:rPr>
              <w:t>Contesto attuale di inserimento della fornitura oggetto della presente</w:t>
            </w:r>
            <w:r w:rsidRPr="00C56E52">
              <w:rPr>
                <w:rFonts w:asciiTheme="majorHAnsi" w:hAnsiTheme="majorHAnsi"/>
              </w:rPr>
              <w:t>”) delle SPECIFICHE TECNICHE  e più precisamente nella sezione riguardante il “</w:t>
            </w:r>
            <w:r w:rsidRPr="00C56E52">
              <w:rPr>
                <w:rFonts w:asciiTheme="majorHAnsi" w:hAnsiTheme="majorHAnsi"/>
                <w:i/>
              </w:rPr>
              <w:t>Sistema Informativo di Radioterapia e Treatment Planning System</w:t>
            </w:r>
            <w:r w:rsidRPr="00C56E52">
              <w:rPr>
                <w:rFonts w:asciiTheme="majorHAnsi" w:hAnsiTheme="majorHAnsi"/>
              </w:rPr>
              <w:t xml:space="preserve">” si rettifica parzialmente l’informazione riguardante la versione di sistema operativo presente sulle WS, precisamente: per le 3 WS dedicate al “4DiTC” e per l’unica WS dedicata al “RPM”, la versione di sistema operativo presente deve considerarsi  Windows7, </w:t>
            </w:r>
            <w:r w:rsidRPr="00C56E52">
              <w:rPr>
                <w:rFonts w:asciiTheme="majorHAnsi" w:hAnsiTheme="majorHAnsi"/>
                <w:u w:val="single"/>
              </w:rPr>
              <w:t>non</w:t>
            </w:r>
            <w:r w:rsidRPr="00C56E52">
              <w:rPr>
                <w:rFonts w:asciiTheme="majorHAnsi" w:hAnsiTheme="majorHAnsi"/>
              </w:rPr>
              <w:t xml:space="preserve"> Windows XP.</w:t>
            </w:r>
          </w:p>
          <w:p w:rsidR="00C56E52" w:rsidRPr="00C56E52" w:rsidRDefault="00C56E52" w:rsidP="00C56E52">
            <w:pPr>
              <w:pStyle w:val="Paragrafoelenco"/>
              <w:numPr>
                <w:ilvl w:val="0"/>
                <w:numId w:val="2"/>
              </w:numPr>
              <w:spacing w:after="200" w:line="276" w:lineRule="auto"/>
              <w:contextualSpacing/>
              <w:rPr>
                <w:rFonts w:asciiTheme="majorHAnsi" w:hAnsiTheme="majorHAnsi"/>
              </w:rPr>
            </w:pPr>
            <w:r w:rsidRPr="00C56E52">
              <w:rPr>
                <w:rFonts w:asciiTheme="majorHAnsi" w:hAnsiTheme="majorHAnsi"/>
              </w:rPr>
              <w:t>Con riferimento alle opere impiantistiche (elettriche) propedeutiche all’installazione delle macchine si precisa che il quadro (armadio) elettrico di bunker dovrà essere posizionato nello spogliatoio presente sulla destra della porta di accesso al bunker</w:t>
            </w:r>
          </w:p>
          <w:p w:rsidR="00C56E52" w:rsidRPr="00C56E52" w:rsidRDefault="00C56E52" w:rsidP="00C56E52">
            <w:pPr>
              <w:pStyle w:val="Paragrafoelenco"/>
              <w:numPr>
                <w:ilvl w:val="0"/>
                <w:numId w:val="2"/>
              </w:numPr>
              <w:spacing w:after="200" w:line="276" w:lineRule="auto"/>
              <w:contextualSpacing/>
              <w:rPr>
                <w:rFonts w:asciiTheme="majorHAnsi" w:hAnsiTheme="majorHAnsi"/>
              </w:rPr>
            </w:pPr>
            <w:r w:rsidRPr="00C56E52">
              <w:rPr>
                <w:rFonts w:asciiTheme="majorHAnsi" w:hAnsiTheme="majorHAnsi"/>
              </w:rPr>
              <w:t>Ad integrazione delle opere architettoniche ed al fine di consentire l’accesso al corridoio-bunker - da parte dei pazienti destinati al trattamento sull’acceleratore oggetto di gara - in un punto più prospiciente l’acceleratore stesso (per ragioni di privacy e semplificazione dei flussi),  è richiesta la realizzazione di un varco (con porta) nella parete (in cartongesso) di separazione fra il corridoio dei bunker e l’area attesa pazienti, in corrispondenza del piccolo locale (attualmente destinato ad archivio) in fondo al corridoio dell’area attesa-pazienti.</w:t>
            </w:r>
          </w:p>
        </w:tc>
      </w:tr>
      <w:tr w:rsidR="00137490" w:rsidRPr="00F67F05" w:rsidTr="00831F3A">
        <w:tc>
          <w:tcPr>
            <w:tcW w:w="8188" w:type="dxa"/>
          </w:tcPr>
          <w:p w:rsidR="00137490" w:rsidRPr="00620601" w:rsidRDefault="00137490" w:rsidP="00756E3B">
            <w:pPr>
              <w:rPr>
                <w:rFonts w:asciiTheme="majorHAnsi" w:hAnsiTheme="majorHAnsi"/>
              </w:rPr>
            </w:pPr>
            <w:r w:rsidRPr="00620601">
              <w:rPr>
                <w:rFonts w:asciiTheme="majorHAnsi" w:hAnsiTheme="majorHAnsi"/>
              </w:rPr>
              <w:t>Quesito n.10</w:t>
            </w:r>
          </w:p>
        </w:tc>
        <w:tc>
          <w:tcPr>
            <w:tcW w:w="6315" w:type="dxa"/>
            <w:gridSpan w:val="2"/>
          </w:tcPr>
          <w:p w:rsidR="00137490" w:rsidRPr="00C56E52" w:rsidRDefault="00137490" w:rsidP="00756E3B">
            <w:pPr>
              <w:rPr>
                <w:rFonts w:asciiTheme="majorHAnsi" w:hAnsiTheme="majorHAnsi"/>
              </w:rPr>
            </w:pPr>
            <w:r w:rsidRPr="00620601">
              <w:rPr>
                <w:rFonts w:asciiTheme="majorHAnsi" w:hAnsiTheme="majorHAnsi"/>
              </w:rPr>
              <w:t>Risposta n.10</w:t>
            </w:r>
          </w:p>
        </w:tc>
      </w:tr>
      <w:tr w:rsidR="00137490" w:rsidRPr="00F67F05" w:rsidTr="00831F3A">
        <w:tc>
          <w:tcPr>
            <w:tcW w:w="8188" w:type="dxa"/>
          </w:tcPr>
          <w:p w:rsidR="00137490" w:rsidRPr="00620601" w:rsidRDefault="00137490" w:rsidP="00756E3B">
            <w:pPr>
              <w:rPr>
                <w:rFonts w:asciiTheme="majorHAnsi" w:hAnsiTheme="majorHAnsi"/>
                <w:b/>
              </w:rPr>
            </w:pPr>
            <w:r w:rsidRPr="00620601">
              <w:rPr>
                <w:rFonts w:asciiTheme="majorHAnsi" w:hAnsiTheme="majorHAnsi"/>
                <w:b/>
              </w:rPr>
              <w:t>LOTTO 1:</w:t>
            </w:r>
          </w:p>
          <w:p w:rsidR="00137490" w:rsidRDefault="00137490" w:rsidP="00756E3B">
            <w:pPr>
              <w:rPr>
                <w:rFonts w:asciiTheme="majorHAnsi" w:hAnsiTheme="majorHAnsi"/>
              </w:rPr>
            </w:pPr>
            <w:r>
              <w:rPr>
                <w:rFonts w:asciiTheme="majorHAnsi" w:hAnsiTheme="majorHAnsi"/>
              </w:rPr>
              <w:t xml:space="preserve">CRO 5 </w:t>
            </w:r>
          </w:p>
          <w:p w:rsidR="00137490" w:rsidRDefault="00137490" w:rsidP="00756E3B">
            <w:pPr>
              <w:rPr>
                <w:rFonts w:asciiTheme="majorHAnsi" w:hAnsiTheme="majorHAnsi"/>
              </w:rPr>
            </w:pPr>
            <w:r>
              <w:rPr>
                <w:rFonts w:asciiTheme="majorHAnsi" w:hAnsiTheme="majorHAnsi"/>
              </w:rPr>
              <w:t xml:space="preserve">Con riferimento alla posizione “3.B.3-protezioni schermanti” del documento “Allegato tecnico – Lotto 1” dove viene chiesta la verifica delle protezioni in funzione della nuova apparecchiatura e dell’aumento della potenza fotonica rispetto il </w:t>
            </w:r>
            <w:proofErr w:type="spellStart"/>
            <w:r>
              <w:rPr>
                <w:rFonts w:asciiTheme="majorHAnsi" w:hAnsiTheme="majorHAnsi"/>
              </w:rPr>
              <w:t>Linac</w:t>
            </w:r>
            <w:proofErr w:type="spellEnd"/>
            <w:r>
              <w:rPr>
                <w:rFonts w:asciiTheme="majorHAnsi" w:hAnsiTheme="majorHAnsi"/>
              </w:rPr>
              <w:t xml:space="preserve"> dismesso, siamo a chiedere la Relazione PX dell’attuale bunker, con indicazione dei nuovi carichi di lavoro, fattori d’uso ed occupazione considerati.</w:t>
            </w:r>
          </w:p>
          <w:p w:rsidR="00137490" w:rsidRDefault="00137490" w:rsidP="00756E3B">
            <w:pPr>
              <w:rPr>
                <w:rFonts w:asciiTheme="majorHAnsi" w:hAnsiTheme="majorHAnsi"/>
              </w:rPr>
            </w:pPr>
          </w:p>
          <w:p w:rsidR="00137490" w:rsidRDefault="00137490" w:rsidP="00756E3B">
            <w:pPr>
              <w:rPr>
                <w:rFonts w:asciiTheme="majorHAnsi" w:hAnsiTheme="majorHAnsi"/>
              </w:rPr>
            </w:pPr>
            <w:r>
              <w:rPr>
                <w:rFonts w:asciiTheme="majorHAnsi" w:hAnsiTheme="majorHAnsi"/>
              </w:rPr>
              <w:t>CRO 6</w:t>
            </w:r>
          </w:p>
          <w:p w:rsidR="00137490" w:rsidRDefault="00137490" w:rsidP="00756E3B">
            <w:pPr>
              <w:rPr>
                <w:rFonts w:asciiTheme="majorHAnsi" w:hAnsiTheme="majorHAnsi"/>
              </w:rPr>
            </w:pPr>
            <w:r>
              <w:rPr>
                <w:rFonts w:asciiTheme="majorHAnsi" w:hAnsiTheme="majorHAnsi"/>
              </w:rPr>
              <w:t xml:space="preserve">Per poter effettuare la verifica </w:t>
            </w:r>
            <w:proofErr w:type="spellStart"/>
            <w:r>
              <w:rPr>
                <w:rFonts w:asciiTheme="majorHAnsi" w:hAnsiTheme="majorHAnsi"/>
              </w:rPr>
              <w:t>proteximetrica</w:t>
            </w:r>
            <w:proofErr w:type="spellEnd"/>
            <w:r>
              <w:rPr>
                <w:rFonts w:asciiTheme="majorHAnsi" w:hAnsiTheme="majorHAnsi"/>
              </w:rPr>
              <w:t xml:space="preserve"> del bunker in oggetto, ci è indispensabile conoscere l’utilizzo dei locali ubicati nei reparti sovrastanti la Radioterapia a ridosso dei </w:t>
            </w:r>
            <w:proofErr w:type="spellStart"/>
            <w:r>
              <w:rPr>
                <w:rFonts w:asciiTheme="majorHAnsi" w:hAnsiTheme="majorHAnsi"/>
              </w:rPr>
              <w:t>Bunkers</w:t>
            </w:r>
            <w:proofErr w:type="spellEnd"/>
            <w:r>
              <w:rPr>
                <w:rFonts w:asciiTheme="majorHAnsi" w:hAnsiTheme="majorHAnsi"/>
              </w:rPr>
              <w:t>; a tal riguardo si chiede un Vs. pronuncia in merito o un planimetrico/sezione delle aree in questione.</w:t>
            </w:r>
          </w:p>
          <w:p w:rsidR="00137490" w:rsidRDefault="00137490" w:rsidP="00756E3B">
            <w:pPr>
              <w:rPr>
                <w:rFonts w:asciiTheme="majorHAnsi" w:hAnsiTheme="majorHAnsi"/>
              </w:rPr>
            </w:pPr>
          </w:p>
          <w:p w:rsidR="00137490" w:rsidRPr="00620601" w:rsidRDefault="00137490" w:rsidP="00756E3B">
            <w:pPr>
              <w:rPr>
                <w:rFonts w:asciiTheme="majorHAnsi" w:hAnsiTheme="majorHAnsi"/>
                <w:b/>
              </w:rPr>
            </w:pPr>
            <w:r w:rsidRPr="00620601">
              <w:rPr>
                <w:rFonts w:asciiTheme="majorHAnsi" w:hAnsiTheme="majorHAnsi"/>
                <w:b/>
              </w:rPr>
              <w:t>LOTTO 2</w:t>
            </w:r>
          </w:p>
          <w:p w:rsidR="00137490" w:rsidRDefault="00137490" w:rsidP="00756E3B">
            <w:pPr>
              <w:rPr>
                <w:rFonts w:asciiTheme="majorHAnsi" w:hAnsiTheme="majorHAnsi"/>
              </w:rPr>
            </w:pPr>
            <w:r>
              <w:rPr>
                <w:rFonts w:asciiTheme="majorHAnsi" w:hAnsiTheme="majorHAnsi"/>
              </w:rPr>
              <w:t>ASUIUD 3</w:t>
            </w:r>
          </w:p>
          <w:p w:rsidR="00137490" w:rsidRDefault="00137490" w:rsidP="00756E3B">
            <w:pPr>
              <w:rPr>
                <w:rFonts w:asciiTheme="majorHAnsi" w:hAnsiTheme="majorHAnsi"/>
              </w:rPr>
            </w:pPr>
            <w:r>
              <w:rPr>
                <w:rFonts w:asciiTheme="majorHAnsi" w:hAnsiTheme="majorHAnsi"/>
              </w:rPr>
              <w:t>Con riferimento alla posizione “19-Relazione tecnica di Radioprotezione” della Busta Tecnica dove viene chiesta la verifica delle protezioni in funzione della nuova apparecchiatura, siamo a chiedere la relazione PX dell’attuale bunker, con indicazione dei nuovi carichi di lavoro fattori d’uso ed occupazione considerati.</w:t>
            </w:r>
          </w:p>
          <w:p w:rsidR="00137490" w:rsidRDefault="00137490" w:rsidP="00756E3B">
            <w:pPr>
              <w:rPr>
                <w:rFonts w:asciiTheme="majorHAnsi" w:hAnsiTheme="majorHAnsi"/>
              </w:rPr>
            </w:pPr>
            <w:r>
              <w:rPr>
                <w:rFonts w:asciiTheme="majorHAnsi" w:hAnsiTheme="majorHAnsi"/>
              </w:rPr>
              <w:t>ASUIUD 4</w:t>
            </w:r>
          </w:p>
          <w:p w:rsidR="00137490" w:rsidRDefault="00137490" w:rsidP="00756E3B">
            <w:pPr>
              <w:rPr>
                <w:rFonts w:asciiTheme="majorHAnsi" w:hAnsiTheme="majorHAnsi"/>
              </w:rPr>
            </w:pPr>
            <w:r>
              <w:rPr>
                <w:rFonts w:asciiTheme="majorHAnsi" w:hAnsiTheme="majorHAnsi"/>
              </w:rPr>
              <w:t xml:space="preserve">Per poter effettuare la verifica </w:t>
            </w:r>
            <w:proofErr w:type="spellStart"/>
            <w:r>
              <w:rPr>
                <w:rFonts w:asciiTheme="majorHAnsi" w:hAnsiTheme="majorHAnsi"/>
              </w:rPr>
              <w:t>proteximetrica</w:t>
            </w:r>
            <w:proofErr w:type="spellEnd"/>
            <w:r>
              <w:rPr>
                <w:rFonts w:asciiTheme="majorHAnsi" w:hAnsiTheme="majorHAnsi"/>
              </w:rPr>
              <w:t xml:space="preserve"> del bunker in oggetto, ci è indispensabile conoscere l’utilizzo dei locali ubicati sopra la Zona Consolle comandi facenti parte del reparto di gastroenterologia; a tal riguardo si chiede una Vs. pronuncia in merito o un planimetrico/sezione del piano sovrastante la Radioterapia.</w:t>
            </w:r>
          </w:p>
          <w:p w:rsidR="00137490" w:rsidRDefault="00137490" w:rsidP="00756E3B">
            <w:pPr>
              <w:rPr>
                <w:rFonts w:asciiTheme="majorHAnsi" w:hAnsiTheme="majorHAnsi"/>
              </w:rPr>
            </w:pPr>
            <w:r>
              <w:rPr>
                <w:rFonts w:asciiTheme="majorHAnsi" w:hAnsiTheme="majorHAnsi"/>
              </w:rPr>
              <w:t>ASUIUD 5</w:t>
            </w:r>
          </w:p>
          <w:p w:rsidR="00137490" w:rsidRPr="00C56E52" w:rsidRDefault="00137490" w:rsidP="00756E3B">
            <w:pPr>
              <w:rPr>
                <w:rFonts w:asciiTheme="majorHAnsi" w:hAnsiTheme="majorHAnsi"/>
              </w:rPr>
            </w:pPr>
            <w:r>
              <w:rPr>
                <w:rFonts w:asciiTheme="majorHAnsi" w:hAnsiTheme="majorHAnsi"/>
              </w:rPr>
              <w:t xml:space="preserve">Con riferimento all’attività di manutenzione Full </w:t>
            </w:r>
            <w:proofErr w:type="spellStart"/>
            <w:r>
              <w:rPr>
                <w:rFonts w:asciiTheme="majorHAnsi" w:hAnsiTheme="majorHAnsi"/>
              </w:rPr>
              <w:t>Risk</w:t>
            </w:r>
            <w:proofErr w:type="spellEnd"/>
            <w:r>
              <w:rPr>
                <w:rFonts w:asciiTheme="majorHAnsi" w:hAnsiTheme="majorHAnsi"/>
              </w:rPr>
              <w:t>, si chiede la conferma dell’esclusione da tale attività della porta esistente del bunker qualora, a seguito di tutte le verifiche progettuali, venga mantenuta, in quanto dichiarata perfettamente funzionante.</w:t>
            </w:r>
          </w:p>
        </w:tc>
        <w:tc>
          <w:tcPr>
            <w:tcW w:w="6315" w:type="dxa"/>
            <w:gridSpan w:val="2"/>
          </w:tcPr>
          <w:p w:rsidR="002076CA" w:rsidRPr="00620601" w:rsidRDefault="002076CA" w:rsidP="002076CA">
            <w:pPr>
              <w:rPr>
                <w:rFonts w:asciiTheme="majorHAnsi" w:hAnsiTheme="majorHAnsi"/>
                <w:b/>
              </w:rPr>
            </w:pPr>
            <w:r w:rsidRPr="00620601">
              <w:rPr>
                <w:rFonts w:asciiTheme="majorHAnsi" w:hAnsiTheme="majorHAnsi"/>
                <w:b/>
              </w:rPr>
              <w:lastRenderedPageBreak/>
              <w:t>LOTTO 1:</w:t>
            </w:r>
          </w:p>
          <w:p w:rsidR="002076CA" w:rsidRDefault="002076CA" w:rsidP="002076CA">
            <w:pPr>
              <w:rPr>
                <w:rFonts w:asciiTheme="majorHAnsi" w:hAnsiTheme="majorHAnsi"/>
              </w:rPr>
            </w:pPr>
            <w:r>
              <w:rPr>
                <w:rFonts w:asciiTheme="majorHAnsi" w:hAnsiTheme="majorHAnsi"/>
              </w:rPr>
              <w:t xml:space="preserve">CRO 5 </w:t>
            </w:r>
          </w:p>
          <w:p w:rsidR="002076CA" w:rsidRPr="0099270E" w:rsidRDefault="002076CA" w:rsidP="002076CA">
            <w:pPr>
              <w:rPr>
                <w:rFonts w:ascii="Cambria" w:hAnsi="Cambria"/>
              </w:rPr>
            </w:pPr>
            <w:r w:rsidRPr="0099270E">
              <w:rPr>
                <w:rFonts w:ascii="Cambria" w:hAnsi="Cambria"/>
              </w:rPr>
              <w:t>Vedi Allegato:“RISPOSTA 10 LOTTO 1 CRO5”</w:t>
            </w:r>
          </w:p>
          <w:p w:rsidR="002076CA" w:rsidRDefault="002076CA" w:rsidP="002076CA">
            <w:pPr>
              <w:rPr>
                <w:rFonts w:asciiTheme="majorHAnsi" w:hAnsiTheme="majorHAnsi"/>
              </w:rPr>
            </w:pPr>
            <w:r>
              <w:rPr>
                <w:rFonts w:asciiTheme="majorHAnsi" w:hAnsiTheme="majorHAnsi"/>
              </w:rPr>
              <w:t>CRO 6</w:t>
            </w:r>
          </w:p>
          <w:p w:rsidR="002076CA" w:rsidRPr="00F6050D" w:rsidRDefault="002076CA" w:rsidP="002076CA">
            <w:pPr>
              <w:jc w:val="both"/>
              <w:rPr>
                <w:rFonts w:ascii="Cambria" w:hAnsi="Cambria"/>
              </w:rPr>
            </w:pPr>
            <w:r w:rsidRPr="00F6050D">
              <w:rPr>
                <w:rFonts w:ascii="Cambria" w:hAnsi="Cambria"/>
              </w:rPr>
              <w:t xml:space="preserve">La destinazione d’uso dei locali nei reparti sovrastanti la Radioterapia a ridosso dei </w:t>
            </w:r>
            <w:proofErr w:type="spellStart"/>
            <w:r w:rsidRPr="00F6050D">
              <w:rPr>
                <w:rFonts w:ascii="Cambria" w:hAnsi="Cambria"/>
              </w:rPr>
              <w:t>Bunkers</w:t>
            </w:r>
            <w:proofErr w:type="spellEnd"/>
            <w:r w:rsidRPr="00F6050D">
              <w:rPr>
                <w:rFonts w:ascii="Cambria" w:hAnsi="Cambria"/>
              </w:rPr>
              <w:t xml:space="preserve"> è indicata negli elaborati grafici che comprendono piante e sezioni delle aree in questione. </w:t>
            </w:r>
            <w:r w:rsidRPr="00F6050D">
              <w:rPr>
                <w:rFonts w:ascii="Cambria" w:hAnsi="Cambria"/>
              </w:rPr>
              <w:lastRenderedPageBreak/>
              <w:t>Tali elaborati sono contenuti nel CD consegnato in fase di sopralluogo.</w:t>
            </w:r>
          </w:p>
          <w:p w:rsidR="002076CA" w:rsidRDefault="002076CA" w:rsidP="002076CA">
            <w:pPr>
              <w:jc w:val="both"/>
              <w:rPr>
                <w:rFonts w:ascii="Cambria" w:hAnsi="Cambria"/>
              </w:rPr>
            </w:pPr>
            <w:r w:rsidRPr="00F6050D">
              <w:rPr>
                <w:rFonts w:ascii="Cambria" w:hAnsi="Cambria"/>
              </w:rPr>
              <w:t>Si precisa in particolare che la zona sopra il Bunker oggetto di appalto è destinata in parte a locale congelatori e in parte trattasi di zona a cielo libero.</w:t>
            </w:r>
          </w:p>
          <w:p w:rsidR="002076CA" w:rsidRPr="00F6050D" w:rsidRDefault="002076CA" w:rsidP="002076CA">
            <w:pPr>
              <w:jc w:val="both"/>
              <w:rPr>
                <w:rFonts w:ascii="Cambria" w:hAnsi="Cambria"/>
              </w:rPr>
            </w:pPr>
          </w:p>
          <w:p w:rsidR="002076CA" w:rsidRPr="00620601" w:rsidRDefault="002076CA" w:rsidP="002076CA">
            <w:pPr>
              <w:rPr>
                <w:rFonts w:asciiTheme="majorHAnsi" w:hAnsiTheme="majorHAnsi"/>
                <w:b/>
              </w:rPr>
            </w:pPr>
            <w:r w:rsidRPr="00620601">
              <w:rPr>
                <w:rFonts w:asciiTheme="majorHAnsi" w:hAnsiTheme="majorHAnsi"/>
                <w:b/>
              </w:rPr>
              <w:t>LOTTO 2</w:t>
            </w:r>
          </w:p>
          <w:p w:rsidR="00620601" w:rsidRPr="00620601" w:rsidRDefault="002076CA" w:rsidP="00620601">
            <w:pPr>
              <w:rPr>
                <w:rFonts w:asciiTheme="majorHAnsi" w:hAnsiTheme="majorHAnsi"/>
              </w:rPr>
            </w:pPr>
            <w:r w:rsidRPr="00620601">
              <w:rPr>
                <w:rFonts w:asciiTheme="majorHAnsi" w:hAnsiTheme="majorHAnsi"/>
              </w:rPr>
              <w:t>ASUIUD 3</w:t>
            </w:r>
          </w:p>
          <w:p w:rsidR="00620601" w:rsidRPr="00620601" w:rsidRDefault="00620601" w:rsidP="00620601">
            <w:pPr>
              <w:rPr>
                <w:rFonts w:asciiTheme="majorHAnsi" w:hAnsiTheme="majorHAnsi"/>
              </w:rPr>
            </w:pPr>
            <w:r w:rsidRPr="00620601">
              <w:rPr>
                <w:rFonts w:asciiTheme="majorHAnsi" w:hAnsiTheme="majorHAnsi"/>
              </w:rPr>
              <w:t xml:space="preserve">Si allegano la relazione tecnica di </w:t>
            </w:r>
            <w:proofErr w:type="spellStart"/>
            <w:r w:rsidRPr="00620601">
              <w:rPr>
                <w:rFonts w:asciiTheme="majorHAnsi" w:hAnsiTheme="majorHAnsi"/>
              </w:rPr>
              <w:t>radioprotezionistica</w:t>
            </w:r>
            <w:proofErr w:type="spellEnd"/>
            <w:r w:rsidRPr="00620601">
              <w:rPr>
                <w:rFonts w:asciiTheme="majorHAnsi" w:hAnsiTheme="majorHAnsi"/>
              </w:rPr>
              <w:t xml:space="preserve"> (file “BUNKER D”) e le planimetrie (del piano interrato: file Allegato REQ_1; del piano terra (</w:t>
            </w:r>
            <w:proofErr w:type="spellStart"/>
            <w:r w:rsidRPr="00620601">
              <w:rPr>
                <w:rFonts w:asciiTheme="majorHAnsi" w:hAnsiTheme="majorHAnsi"/>
              </w:rPr>
              <w:t>gastro</w:t>
            </w:r>
            <w:proofErr w:type="spellEnd"/>
            <w:r w:rsidRPr="00620601">
              <w:rPr>
                <w:rFonts w:asciiTheme="majorHAnsi" w:hAnsiTheme="majorHAnsi"/>
              </w:rPr>
              <w:t>): file Allegato REQ_3; del piano 2° interrato: file Allegato REQ_4)  e sezioni bunker (file Allegato REQ_2)</w:t>
            </w:r>
          </w:p>
          <w:p w:rsidR="00620601" w:rsidRPr="00620601" w:rsidRDefault="00620601" w:rsidP="00620601">
            <w:pPr>
              <w:rPr>
                <w:rFonts w:asciiTheme="majorHAnsi" w:hAnsiTheme="majorHAnsi"/>
              </w:rPr>
            </w:pPr>
            <w:r w:rsidRPr="00620601">
              <w:rPr>
                <w:rFonts w:asciiTheme="majorHAnsi" w:hAnsiTheme="majorHAnsi"/>
              </w:rPr>
              <w:t>ASUIUD 4</w:t>
            </w:r>
          </w:p>
          <w:p w:rsidR="00620601" w:rsidRPr="00620601" w:rsidRDefault="00620601" w:rsidP="00620601">
            <w:pPr>
              <w:rPr>
                <w:rFonts w:asciiTheme="majorHAnsi" w:hAnsiTheme="majorHAnsi"/>
              </w:rPr>
            </w:pPr>
            <w:r w:rsidRPr="00620601">
              <w:rPr>
                <w:rFonts w:asciiTheme="majorHAnsi" w:hAnsiTheme="majorHAnsi"/>
              </w:rPr>
              <w:t>I locali soprastanti la zona in cui verrà collocata la consolle del bunker D comprendono un deposito ed un corridoio. Si vedano le planimetrie allegate e già citate nella precedente risposta.</w:t>
            </w:r>
          </w:p>
          <w:p w:rsidR="00620601" w:rsidRPr="00620601" w:rsidRDefault="00620601" w:rsidP="00620601">
            <w:pPr>
              <w:rPr>
                <w:rFonts w:asciiTheme="majorHAnsi" w:hAnsiTheme="majorHAnsi"/>
              </w:rPr>
            </w:pPr>
            <w:r w:rsidRPr="00620601">
              <w:rPr>
                <w:rFonts w:asciiTheme="majorHAnsi" w:hAnsiTheme="majorHAnsi"/>
              </w:rPr>
              <w:t>ASUIUD 5</w:t>
            </w:r>
          </w:p>
          <w:p w:rsidR="002076CA" w:rsidRPr="00620601" w:rsidRDefault="00620601" w:rsidP="00620601">
            <w:pPr>
              <w:rPr>
                <w:rFonts w:asciiTheme="majorHAnsi" w:hAnsiTheme="majorHAnsi"/>
              </w:rPr>
            </w:pPr>
            <w:r w:rsidRPr="00620601">
              <w:rPr>
                <w:rFonts w:asciiTheme="majorHAnsi" w:hAnsiTheme="majorHAnsi"/>
              </w:rPr>
              <w:t>Si conferma</w:t>
            </w:r>
          </w:p>
          <w:p w:rsidR="00137490" w:rsidRPr="00C56E52" w:rsidRDefault="00137490" w:rsidP="00756E3B">
            <w:pPr>
              <w:rPr>
                <w:rFonts w:asciiTheme="majorHAnsi" w:hAnsiTheme="majorHAnsi"/>
              </w:rPr>
            </w:pPr>
          </w:p>
        </w:tc>
      </w:tr>
      <w:tr w:rsidR="00992538" w:rsidRPr="00F67F05" w:rsidTr="00831F3A">
        <w:tc>
          <w:tcPr>
            <w:tcW w:w="8188" w:type="dxa"/>
          </w:tcPr>
          <w:p w:rsidR="00992538" w:rsidRPr="00C56E52" w:rsidRDefault="00992538" w:rsidP="00756E3B">
            <w:pPr>
              <w:rPr>
                <w:rFonts w:asciiTheme="majorHAnsi" w:hAnsiTheme="majorHAnsi"/>
              </w:rPr>
            </w:pPr>
            <w:r w:rsidRPr="00C56E52">
              <w:rPr>
                <w:rFonts w:asciiTheme="majorHAnsi" w:hAnsiTheme="majorHAnsi"/>
              </w:rPr>
              <w:lastRenderedPageBreak/>
              <w:t>Quesito n.</w:t>
            </w:r>
            <w:r>
              <w:rPr>
                <w:rFonts w:asciiTheme="majorHAnsi" w:hAnsiTheme="majorHAnsi"/>
              </w:rPr>
              <w:t>11</w:t>
            </w:r>
          </w:p>
        </w:tc>
        <w:tc>
          <w:tcPr>
            <w:tcW w:w="6315" w:type="dxa"/>
            <w:gridSpan w:val="2"/>
          </w:tcPr>
          <w:p w:rsidR="00992538" w:rsidRPr="00C56E52" w:rsidRDefault="00992538" w:rsidP="00756E3B">
            <w:pPr>
              <w:rPr>
                <w:rFonts w:asciiTheme="majorHAnsi" w:hAnsiTheme="majorHAnsi"/>
              </w:rPr>
            </w:pPr>
            <w:r w:rsidRPr="00C56E52">
              <w:rPr>
                <w:rFonts w:asciiTheme="majorHAnsi" w:hAnsiTheme="majorHAnsi"/>
              </w:rPr>
              <w:t>Risposta n.</w:t>
            </w:r>
            <w:r>
              <w:rPr>
                <w:rFonts w:asciiTheme="majorHAnsi" w:hAnsiTheme="majorHAnsi"/>
              </w:rPr>
              <w:t>11</w:t>
            </w:r>
          </w:p>
        </w:tc>
      </w:tr>
      <w:tr w:rsidR="00992538" w:rsidRPr="00F67F05" w:rsidTr="00831F3A">
        <w:tc>
          <w:tcPr>
            <w:tcW w:w="8188" w:type="dxa"/>
          </w:tcPr>
          <w:p w:rsidR="00992538" w:rsidRDefault="00992538" w:rsidP="00756E3B">
            <w:pPr>
              <w:rPr>
                <w:rFonts w:asciiTheme="majorHAnsi" w:hAnsiTheme="majorHAnsi"/>
              </w:rPr>
            </w:pPr>
            <w:r>
              <w:rPr>
                <w:rFonts w:asciiTheme="majorHAnsi" w:hAnsiTheme="majorHAnsi"/>
              </w:rPr>
              <w:t>Con riferimento alla gara in oggetto, al fine di poter effettuare il versamento all’ANAC, sottoponiamo alla Vs. cortese attenzione la seguente problematica:</w:t>
            </w:r>
          </w:p>
          <w:p w:rsidR="00992538" w:rsidRDefault="00992538" w:rsidP="00756E3B">
            <w:pPr>
              <w:rPr>
                <w:rFonts w:asciiTheme="majorHAnsi" w:hAnsiTheme="majorHAnsi"/>
              </w:rPr>
            </w:pPr>
            <w:r>
              <w:rPr>
                <w:rFonts w:asciiTheme="majorHAnsi" w:hAnsiTheme="majorHAnsi"/>
              </w:rPr>
              <w:t>utilizzando i codici CIG indicati nel CSA (lotto 1 CIG 6765632824 e lotto 2 CIG 6765637C43), il sito dell’ANAC non consente di effettuare il versamento, segnala che i codici inseriti sono validi ma che non sono attualmente disponibili per i pagamenti e indica di contattare la stazione appaltante.</w:t>
            </w:r>
          </w:p>
          <w:p w:rsidR="00992538" w:rsidRPr="00C56E52" w:rsidRDefault="00992538" w:rsidP="00756E3B">
            <w:pPr>
              <w:rPr>
                <w:rFonts w:asciiTheme="majorHAnsi" w:hAnsiTheme="majorHAnsi"/>
              </w:rPr>
            </w:pPr>
            <w:r>
              <w:rPr>
                <w:rFonts w:asciiTheme="majorHAnsi" w:hAnsiTheme="majorHAnsi"/>
              </w:rPr>
              <w:t>A tal proposito chiediamo cortesemente di ricevere indicazioni per poter adempiere a quanto richiesto al punto 4 di pag.4 del Disciplinare di gara.</w:t>
            </w:r>
          </w:p>
        </w:tc>
        <w:tc>
          <w:tcPr>
            <w:tcW w:w="6315" w:type="dxa"/>
            <w:gridSpan w:val="2"/>
          </w:tcPr>
          <w:p w:rsidR="007129FB" w:rsidRPr="00A57254" w:rsidRDefault="007129FB" w:rsidP="007129FB">
            <w:pPr>
              <w:rPr>
                <w:rFonts w:ascii="Cambria" w:hAnsi="Cambria" w:cs="Tahoma"/>
                <w:b/>
              </w:rPr>
            </w:pPr>
            <w:r>
              <w:rPr>
                <w:rFonts w:asciiTheme="majorHAnsi" w:hAnsiTheme="majorHAnsi"/>
              </w:rPr>
              <w:t>Come previsto nel CSA “</w:t>
            </w:r>
            <w:r w:rsidRPr="00A67946">
              <w:rPr>
                <w:rFonts w:ascii="Cambria" w:hAnsi="Cambria" w:cs="Tahoma"/>
              </w:rPr>
              <w:t>Il pagamento CIG (e ottenimento passo OE) potrà essere effettuato, con le modalità indicate nell’allegato B delle norme di partecipazione, non prima di 15 giorni del termine ultimo per la ricezione delle offerte indicato dal bando di gara</w:t>
            </w:r>
            <w:r>
              <w:rPr>
                <w:rFonts w:ascii="Cambria" w:hAnsi="Cambria" w:cs="Tahoma"/>
              </w:rPr>
              <w:t xml:space="preserve">”. </w:t>
            </w:r>
            <w:r w:rsidR="00620601">
              <w:rPr>
                <w:rFonts w:ascii="Cambria" w:hAnsi="Cambria" w:cs="Tahoma"/>
              </w:rPr>
              <w:t>In data odierna i CIG sono stati attivati</w:t>
            </w:r>
          </w:p>
          <w:p w:rsidR="007129FB" w:rsidRPr="00C56E52" w:rsidRDefault="007129FB" w:rsidP="00756E3B">
            <w:pPr>
              <w:rPr>
                <w:rFonts w:asciiTheme="majorHAnsi" w:hAnsiTheme="majorHAnsi"/>
              </w:rPr>
            </w:pPr>
          </w:p>
        </w:tc>
      </w:tr>
      <w:tr w:rsidR="00756E3B" w:rsidRPr="00F67F05" w:rsidTr="00831F3A">
        <w:tc>
          <w:tcPr>
            <w:tcW w:w="8188" w:type="dxa"/>
          </w:tcPr>
          <w:p w:rsidR="00756E3B" w:rsidRDefault="00756E3B" w:rsidP="00756E3B">
            <w:pPr>
              <w:rPr>
                <w:rFonts w:asciiTheme="majorHAnsi" w:hAnsiTheme="majorHAnsi"/>
              </w:rPr>
            </w:pPr>
            <w:r>
              <w:rPr>
                <w:rFonts w:asciiTheme="majorHAnsi" w:hAnsiTheme="majorHAnsi"/>
              </w:rPr>
              <w:t>Quesito n.12</w:t>
            </w:r>
          </w:p>
        </w:tc>
        <w:tc>
          <w:tcPr>
            <w:tcW w:w="6315" w:type="dxa"/>
            <w:gridSpan w:val="2"/>
          </w:tcPr>
          <w:p w:rsidR="00756E3B" w:rsidRPr="00C56E52" w:rsidRDefault="00756E3B" w:rsidP="00756E3B">
            <w:pPr>
              <w:rPr>
                <w:rFonts w:asciiTheme="majorHAnsi" w:hAnsiTheme="majorHAnsi"/>
              </w:rPr>
            </w:pPr>
            <w:r>
              <w:rPr>
                <w:rFonts w:asciiTheme="majorHAnsi" w:hAnsiTheme="majorHAnsi"/>
              </w:rPr>
              <w:t>Risposta n.12</w:t>
            </w:r>
          </w:p>
        </w:tc>
      </w:tr>
      <w:tr w:rsidR="00756E3B" w:rsidRPr="00F67F05" w:rsidTr="00831F3A">
        <w:tc>
          <w:tcPr>
            <w:tcW w:w="8188" w:type="dxa"/>
          </w:tcPr>
          <w:p w:rsidR="00756E3B" w:rsidRDefault="00C35802" w:rsidP="00756E3B">
            <w:pPr>
              <w:rPr>
                <w:rFonts w:asciiTheme="majorHAnsi" w:hAnsiTheme="majorHAnsi"/>
              </w:rPr>
            </w:pPr>
            <w:r>
              <w:rPr>
                <w:rFonts w:asciiTheme="majorHAnsi" w:hAnsiTheme="majorHAnsi"/>
              </w:rPr>
              <w:t>Pag. 7 punto 3.2 “caratteristiche tecniche dell’acceleratore” del CSA.</w:t>
            </w:r>
          </w:p>
          <w:p w:rsidR="00C35802" w:rsidRDefault="00C35802" w:rsidP="00756E3B">
            <w:pPr>
              <w:rPr>
                <w:rFonts w:asciiTheme="majorHAnsi" w:hAnsiTheme="majorHAnsi"/>
              </w:rPr>
            </w:pPr>
            <w:r>
              <w:rPr>
                <w:rFonts w:asciiTheme="majorHAnsi" w:hAnsiTheme="majorHAnsi"/>
              </w:rPr>
              <w:t>Relativamente al letto porta paziente, vengono richiesti i movimenti “beccheggio (</w:t>
            </w:r>
            <w:proofErr w:type="spellStart"/>
            <w:r>
              <w:rPr>
                <w:rFonts w:asciiTheme="majorHAnsi" w:hAnsiTheme="majorHAnsi"/>
              </w:rPr>
              <w:t>pitch</w:t>
            </w:r>
            <w:proofErr w:type="spellEnd"/>
            <w:r>
              <w:rPr>
                <w:rFonts w:asciiTheme="majorHAnsi" w:hAnsiTheme="majorHAnsi"/>
              </w:rPr>
              <w:t>)” e “rollio (</w:t>
            </w:r>
            <w:proofErr w:type="spellStart"/>
            <w:r>
              <w:rPr>
                <w:rFonts w:asciiTheme="majorHAnsi" w:hAnsiTheme="majorHAnsi"/>
              </w:rPr>
              <w:t>roll</w:t>
            </w:r>
            <w:proofErr w:type="spellEnd"/>
            <w:r>
              <w:rPr>
                <w:rFonts w:asciiTheme="majorHAnsi" w:hAnsiTheme="majorHAnsi"/>
              </w:rPr>
              <w:t>)” tipici di un lettino robotizzato a 6 gradi di libertà.</w:t>
            </w:r>
          </w:p>
          <w:p w:rsidR="00C35802" w:rsidRDefault="00C35802" w:rsidP="00756E3B">
            <w:pPr>
              <w:rPr>
                <w:rFonts w:asciiTheme="majorHAnsi" w:hAnsiTheme="majorHAnsi"/>
              </w:rPr>
            </w:pPr>
            <w:r>
              <w:rPr>
                <w:rFonts w:asciiTheme="majorHAnsi" w:hAnsiTheme="majorHAnsi"/>
              </w:rPr>
              <w:lastRenderedPageBreak/>
              <w:t>Tale requisito è poi richiesto al punto 4 “condizioni di fornitura” tra le parti opzionali.</w:t>
            </w:r>
          </w:p>
          <w:p w:rsidR="00C35802" w:rsidRDefault="00C35802" w:rsidP="00756E3B">
            <w:pPr>
              <w:rPr>
                <w:rFonts w:asciiTheme="majorHAnsi" w:hAnsiTheme="majorHAnsi"/>
              </w:rPr>
            </w:pPr>
            <w:r>
              <w:rPr>
                <w:rFonts w:asciiTheme="majorHAnsi" w:hAnsiTheme="majorHAnsi"/>
              </w:rPr>
              <w:t>Si richiede pertanto di confermare se il lettino a 6 gradi di libertà è richiesto come base oppure da quotare in opzione.</w:t>
            </w:r>
          </w:p>
        </w:tc>
        <w:tc>
          <w:tcPr>
            <w:tcW w:w="6315" w:type="dxa"/>
            <w:gridSpan w:val="2"/>
          </w:tcPr>
          <w:p w:rsidR="00756E3B" w:rsidRPr="00C56E52" w:rsidRDefault="002C4E00" w:rsidP="00756E3B">
            <w:pPr>
              <w:rPr>
                <w:rFonts w:asciiTheme="majorHAnsi" w:hAnsiTheme="majorHAnsi"/>
              </w:rPr>
            </w:pPr>
            <w:r w:rsidRPr="00F6050D">
              <w:rPr>
                <w:rFonts w:ascii="Cambria" w:hAnsi="Cambria"/>
              </w:rPr>
              <w:lastRenderedPageBreak/>
              <w:t>Il lettino a 6 gradi di libertà è richiesto come base.</w:t>
            </w:r>
          </w:p>
        </w:tc>
      </w:tr>
      <w:tr w:rsidR="00EF0726" w:rsidRPr="00F67F05" w:rsidTr="00831F3A">
        <w:tc>
          <w:tcPr>
            <w:tcW w:w="8188" w:type="dxa"/>
          </w:tcPr>
          <w:p w:rsidR="00EF0726" w:rsidRDefault="00EF0726" w:rsidP="00606E37">
            <w:pPr>
              <w:rPr>
                <w:rFonts w:asciiTheme="majorHAnsi" w:hAnsiTheme="majorHAnsi"/>
              </w:rPr>
            </w:pPr>
            <w:r>
              <w:rPr>
                <w:rFonts w:asciiTheme="majorHAnsi" w:hAnsiTheme="majorHAnsi"/>
              </w:rPr>
              <w:lastRenderedPageBreak/>
              <w:t>Quesito n.13</w:t>
            </w:r>
          </w:p>
        </w:tc>
        <w:tc>
          <w:tcPr>
            <w:tcW w:w="6315" w:type="dxa"/>
            <w:gridSpan w:val="2"/>
          </w:tcPr>
          <w:p w:rsidR="00EF0726" w:rsidRPr="00C56E52" w:rsidRDefault="00EF0726" w:rsidP="00606E37">
            <w:pPr>
              <w:rPr>
                <w:rFonts w:asciiTheme="majorHAnsi" w:hAnsiTheme="majorHAnsi"/>
              </w:rPr>
            </w:pPr>
            <w:r>
              <w:rPr>
                <w:rFonts w:asciiTheme="majorHAnsi" w:hAnsiTheme="majorHAnsi"/>
              </w:rPr>
              <w:t>Risposta n.13</w:t>
            </w:r>
          </w:p>
        </w:tc>
      </w:tr>
      <w:tr w:rsidR="00EF0726" w:rsidRPr="00DA2673" w:rsidTr="00831F3A">
        <w:tc>
          <w:tcPr>
            <w:tcW w:w="8188" w:type="dxa"/>
          </w:tcPr>
          <w:p w:rsidR="00EF0726" w:rsidRPr="00DA2673" w:rsidRDefault="00EF0726" w:rsidP="00756E3B">
            <w:pPr>
              <w:rPr>
                <w:rFonts w:asciiTheme="majorHAnsi" w:hAnsiTheme="majorHAnsi"/>
              </w:rPr>
            </w:pPr>
            <w:r w:rsidRPr="00DA2673">
              <w:rPr>
                <w:rFonts w:asciiTheme="majorHAnsi" w:hAnsiTheme="majorHAnsi"/>
              </w:rPr>
              <w:t>Si chiede di confermare che la prestazione di Coordinatore per la sicurezza in fase di esecuzione verrà effettuato da personale tecnico nominato dalla Stazione appaltante</w:t>
            </w:r>
          </w:p>
        </w:tc>
        <w:tc>
          <w:tcPr>
            <w:tcW w:w="6315" w:type="dxa"/>
            <w:gridSpan w:val="2"/>
          </w:tcPr>
          <w:p w:rsidR="001F6365" w:rsidRPr="00DA2673" w:rsidRDefault="00DA2673" w:rsidP="001F6365">
            <w:pPr>
              <w:rPr>
                <w:rFonts w:asciiTheme="majorHAnsi" w:hAnsiTheme="majorHAnsi"/>
              </w:rPr>
            </w:pPr>
            <w:r w:rsidRPr="00DA2673">
              <w:rPr>
                <w:rFonts w:asciiTheme="majorHAnsi" w:hAnsiTheme="majorHAnsi"/>
              </w:rPr>
              <w:t>L</w:t>
            </w:r>
            <w:r w:rsidR="001F6365" w:rsidRPr="00DA2673">
              <w:rPr>
                <w:rFonts w:asciiTheme="majorHAnsi" w:hAnsiTheme="majorHAnsi"/>
              </w:rPr>
              <w:t>a figura del CSE è  comp</w:t>
            </w:r>
            <w:r w:rsidRPr="00DA2673">
              <w:rPr>
                <w:rFonts w:asciiTheme="majorHAnsi" w:hAnsiTheme="majorHAnsi"/>
              </w:rPr>
              <w:t xml:space="preserve">resa in offerta ; </w:t>
            </w:r>
            <w:r w:rsidR="001F6365" w:rsidRPr="00DA2673">
              <w:rPr>
                <w:rFonts w:asciiTheme="majorHAnsi" w:hAnsiTheme="majorHAnsi"/>
              </w:rPr>
              <w:t>la nomina viene formalizzata da parte della SA.</w:t>
            </w:r>
          </w:p>
          <w:p w:rsidR="00EF0726" w:rsidRPr="00DA2673" w:rsidRDefault="00EF0726" w:rsidP="00DA2673">
            <w:pPr>
              <w:rPr>
                <w:rFonts w:asciiTheme="majorHAnsi" w:hAnsiTheme="majorHAnsi"/>
              </w:rPr>
            </w:pPr>
          </w:p>
        </w:tc>
      </w:tr>
      <w:tr w:rsidR="00606E37" w:rsidRPr="00F67F05" w:rsidTr="00831F3A">
        <w:tc>
          <w:tcPr>
            <w:tcW w:w="8188" w:type="dxa"/>
          </w:tcPr>
          <w:p w:rsidR="00606E37" w:rsidRPr="00620601" w:rsidRDefault="006424DE" w:rsidP="00756E3B">
            <w:pPr>
              <w:rPr>
                <w:rFonts w:asciiTheme="majorHAnsi" w:hAnsiTheme="majorHAnsi"/>
              </w:rPr>
            </w:pPr>
            <w:r w:rsidRPr="00620601">
              <w:rPr>
                <w:rFonts w:asciiTheme="majorHAnsi" w:hAnsiTheme="majorHAnsi"/>
              </w:rPr>
              <w:t>Quesito n.14</w:t>
            </w:r>
          </w:p>
        </w:tc>
        <w:tc>
          <w:tcPr>
            <w:tcW w:w="6315" w:type="dxa"/>
            <w:gridSpan w:val="2"/>
          </w:tcPr>
          <w:p w:rsidR="00606E37" w:rsidRPr="00620601" w:rsidRDefault="006424DE" w:rsidP="00756E3B">
            <w:pPr>
              <w:rPr>
                <w:rFonts w:asciiTheme="majorHAnsi" w:hAnsiTheme="majorHAnsi"/>
              </w:rPr>
            </w:pPr>
            <w:r w:rsidRPr="00620601">
              <w:rPr>
                <w:rFonts w:asciiTheme="majorHAnsi" w:hAnsiTheme="majorHAnsi"/>
              </w:rPr>
              <w:t>Risposta n.14</w:t>
            </w:r>
          </w:p>
        </w:tc>
      </w:tr>
      <w:tr w:rsidR="00606E37" w:rsidRPr="00F67F05" w:rsidTr="00831F3A">
        <w:tc>
          <w:tcPr>
            <w:tcW w:w="8188" w:type="dxa"/>
          </w:tcPr>
          <w:p w:rsidR="00831F3A" w:rsidRPr="00620601" w:rsidRDefault="00831F3A" w:rsidP="00831F3A">
            <w:pPr>
              <w:jc w:val="both"/>
              <w:rPr>
                <w:rFonts w:asciiTheme="majorHAnsi" w:hAnsiTheme="majorHAnsi"/>
                <w:b/>
                <w:bCs/>
                <w:u w:val="single"/>
              </w:rPr>
            </w:pPr>
            <w:r w:rsidRPr="00620601">
              <w:rPr>
                <w:rFonts w:asciiTheme="majorHAnsi" w:hAnsiTheme="majorHAnsi"/>
                <w:b/>
                <w:bCs/>
                <w:u w:val="single"/>
              </w:rPr>
              <w:t>Quesito</w:t>
            </w:r>
          </w:p>
          <w:p w:rsidR="00831F3A" w:rsidRPr="00620601" w:rsidRDefault="00831F3A" w:rsidP="00831F3A">
            <w:pPr>
              <w:jc w:val="both"/>
              <w:rPr>
                <w:rFonts w:asciiTheme="majorHAnsi" w:hAnsiTheme="majorHAnsi"/>
              </w:rPr>
            </w:pPr>
            <w:r w:rsidRPr="00620601">
              <w:rPr>
                <w:rFonts w:asciiTheme="majorHAnsi" w:hAnsiTheme="majorHAnsi"/>
              </w:rPr>
              <w:t xml:space="preserve">Con particolare riferimento al Vostro documento </w:t>
            </w:r>
            <w:r w:rsidRPr="00620601">
              <w:rPr>
                <w:rFonts w:asciiTheme="majorHAnsi" w:hAnsiTheme="majorHAnsi"/>
                <w:b/>
                <w:bCs/>
              </w:rPr>
              <w:t>“CAPITOLATO SPECIALE PER L’AFFIDAMENTO DELLA FORNITURA DI ACCELERATORI LINEARI PER LE AZIENDE DEL SERVIZIO SANITARIO REGIONALE DEL FRIULI VENEZIA GIULIA”</w:t>
            </w:r>
            <w:r w:rsidRPr="00620601">
              <w:rPr>
                <w:rFonts w:asciiTheme="majorHAnsi" w:hAnsiTheme="majorHAnsi"/>
              </w:rPr>
              <w:t xml:space="preserve"> ed al </w:t>
            </w:r>
            <w:r w:rsidRPr="00620601">
              <w:rPr>
                <w:rFonts w:asciiTheme="majorHAnsi" w:hAnsiTheme="majorHAnsi"/>
                <w:b/>
                <w:bCs/>
              </w:rPr>
              <w:t>LOTTO N. 1 (CRO AVIANO)</w:t>
            </w:r>
            <w:r w:rsidRPr="00620601">
              <w:rPr>
                <w:rFonts w:asciiTheme="majorHAnsi" w:hAnsiTheme="majorHAnsi"/>
              </w:rPr>
              <w:t xml:space="preserve">, la </w:t>
            </w:r>
            <w:r w:rsidRPr="00620601">
              <w:rPr>
                <w:rFonts w:asciiTheme="majorHAnsi" w:hAnsiTheme="majorHAnsi"/>
                <w:b/>
                <w:bCs/>
              </w:rPr>
              <w:t>sezione “4. Condizioni di fornitura”</w:t>
            </w:r>
            <w:r w:rsidRPr="00620601">
              <w:rPr>
                <w:rFonts w:asciiTheme="majorHAnsi" w:hAnsiTheme="majorHAnsi"/>
              </w:rPr>
              <w:t xml:space="preserve"> riporta le seguenti richieste:</w:t>
            </w:r>
          </w:p>
          <w:p w:rsidR="00831F3A" w:rsidRPr="00620601" w:rsidRDefault="00831F3A" w:rsidP="00831F3A">
            <w:pPr>
              <w:jc w:val="both"/>
              <w:rPr>
                <w:rFonts w:asciiTheme="majorHAnsi" w:hAnsiTheme="majorHAnsi"/>
              </w:rPr>
            </w:pPr>
            <w:r w:rsidRPr="00620601">
              <w:rPr>
                <w:rFonts w:asciiTheme="majorHAnsi" w:hAnsiTheme="majorHAnsi"/>
              </w:rPr>
              <w:t>In aggiunta a quanto sopra, le seguenti opzioni, non comprese nella fornitura richiesta, devono poter essere richiedibili.</w:t>
            </w:r>
          </w:p>
          <w:p w:rsidR="00831F3A" w:rsidRPr="00620601" w:rsidRDefault="00831F3A" w:rsidP="00831F3A">
            <w:pPr>
              <w:jc w:val="both"/>
              <w:rPr>
                <w:rFonts w:asciiTheme="majorHAnsi" w:hAnsiTheme="majorHAnsi"/>
              </w:rPr>
            </w:pPr>
            <w:r w:rsidRPr="00620601">
              <w:rPr>
                <w:rFonts w:asciiTheme="majorHAnsi" w:hAnsiTheme="majorHAnsi"/>
              </w:rPr>
              <w:t>Devono essere pertanto obbligatoriamente disponibili da parte del fornitore (sono cioè obbligatorie ai fini della partecipazione alla gara):</w:t>
            </w:r>
          </w:p>
          <w:p w:rsidR="00831F3A" w:rsidRPr="00620601" w:rsidRDefault="00831F3A" w:rsidP="00831F3A">
            <w:pPr>
              <w:numPr>
                <w:ilvl w:val="0"/>
                <w:numId w:val="4"/>
              </w:numPr>
              <w:jc w:val="both"/>
              <w:rPr>
                <w:rFonts w:asciiTheme="majorHAnsi" w:hAnsiTheme="majorHAnsi"/>
              </w:rPr>
            </w:pPr>
            <w:r w:rsidRPr="00620601">
              <w:rPr>
                <w:rFonts w:asciiTheme="majorHAnsi" w:hAnsiTheme="majorHAnsi"/>
              </w:rPr>
              <w:t>Contratti di manutenzione di tipo “</w:t>
            </w:r>
            <w:proofErr w:type="spellStart"/>
            <w:r w:rsidRPr="00620601">
              <w:rPr>
                <w:rFonts w:asciiTheme="majorHAnsi" w:hAnsiTheme="majorHAnsi"/>
              </w:rPr>
              <w:t>Full-Risk</w:t>
            </w:r>
            <w:proofErr w:type="spellEnd"/>
            <w:r w:rsidRPr="00620601">
              <w:rPr>
                <w:rFonts w:asciiTheme="majorHAnsi" w:hAnsiTheme="majorHAnsi"/>
              </w:rPr>
              <w:t>” per il periodo successivo a quello di garanzia, da attivarsi anche non consecutivamente alla scadenza della stessa, ed erogati a condizioni almeno pari a quelle specificate nei rispettivi allegati.</w:t>
            </w:r>
          </w:p>
          <w:p w:rsidR="00831F3A" w:rsidRPr="00620601" w:rsidRDefault="00831F3A" w:rsidP="00831F3A">
            <w:pPr>
              <w:numPr>
                <w:ilvl w:val="0"/>
                <w:numId w:val="4"/>
              </w:numPr>
              <w:jc w:val="both"/>
              <w:rPr>
                <w:rFonts w:asciiTheme="majorHAnsi" w:hAnsiTheme="majorHAnsi"/>
              </w:rPr>
            </w:pPr>
            <w:r w:rsidRPr="00620601">
              <w:rPr>
                <w:rFonts w:asciiTheme="majorHAnsi" w:hAnsiTheme="majorHAnsi"/>
              </w:rPr>
              <w:t>Lettino robotizzato a 6 gradi di libertà e Sistema per IGRT basato su immagini radiografiche stereoscopiche acquisite mediante tubi radiogeni</w:t>
            </w:r>
          </w:p>
          <w:p w:rsidR="00831F3A" w:rsidRPr="00620601" w:rsidRDefault="00831F3A" w:rsidP="00831F3A">
            <w:pPr>
              <w:numPr>
                <w:ilvl w:val="0"/>
                <w:numId w:val="4"/>
              </w:numPr>
              <w:jc w:val="both"/>
              <w:rPr>
                <w:rFonts w:asciiTheme="majorHAnsi" w:hAnsiTheme="majorHAnsi"/>
              </w:rPr>
            </w:pPr>
            <w:r w:rsidRPr="00620601">
              <w:rPr>
                <w:rFonts w:asciiTheme="majorHAnsi" w:hAnsiTheme="majorHAnsi"/>
              </w:rPr>
              <w:t>Sistema a guida ottica per la localizzazione e il controllo dei trattamenti complessi</w:t>
            </w:r>
          </w:p>
          <w:p w:rsidR="00831F3A" w:rsidRPr="00620601" w:rsidRDefault="00831F3A" w:rsidP="00831F3A">
            <w:pPr>
              <w:jc w:val="both"/>
              <w:rPr>
                <w:rFonts w:asciiTheme="majorHAnsi" w:hAnsiTheme="majorHAnsi"/>
              </w:rPr>
            </w:pPr>
            <w:r w:rsidRPr="00620601">
              <w:rPr>
                <w:rFonts w:asciiTheme="majorHAnsi" w:hAnsiTheme="majorHAnsi"/>
              </w:rPr>
              <w:t>Si chiede conferma che trattasi di refuso e che il LOTTO N. 1 non preveda richieste opzionali.</w:t>
            </w:r>
          </w:p>
          <w:p w:rsidR="00831F3A" w:rsidRPr="00620601" w:rsidRDefault="00831F3A" w:rsidP="00831F3A">
            <w:pPr>
              <w:jc w:val="both"/>
              <w:rPr>
                <w:rFonts w:asciiTheme="majorHAnsi" w:hAnsiTheme="majorHAnsi"/>
                <w:b/>
                <w:bCs/>
                <w:u w:val="single"/>
              </w:rPr>
            </w:pPr>
            <w:r w:rsidRPr="00620601">
              <w:rPr>
                <w:rFonts w:asciiTheme="majorHAnsi" w:hAnsiTheme="majorHAnsi"/>
                <w:b/>
                <w:bCs/>
                <w:u w:val="single"/>
              </w:rPr>
              <w:t>Quesito</w:t>
            </w:r>
          </w:p>
          <w:p w:rsidR="00831F3A" w:rsidRPr="007C7154" w:rsidRDefault="00831F3A" w:rsidP="00831F3A">
            <w:pPr>
              <w:jc w:val="both"/>
              <w:rPr>
                <w:rFonts w:asciiTheme="majorHAnsi" w:hAnsiTheme="majorHAnsi"/>
              </w:rPr>
            </w:pPr>
            <w:r w:rsidRPr="007C7154">
              <w:rPr>
                <w:rFonts w:asciiTheme="majorHAnsi" w:hAnsiTheme="majorHAnsi"/>
              </w:rPr>
              <w:t xml:space="preserve">Con particolare riferimento al Vostro documento </w:t>
            </w:r>
            <w:r w:rsidRPr="007C7154">
              <w:rPr>
                <w:rFonts w:asciiTheme="majorHAnsi" w:hAnsiTheme="majorHAnsi"/>
                <w:b/>
                <w:bCs/>
              </w:rPr>
              <w:t>“CAPITOLATO SPECIALE PER L’AFFIDAMENTO DELLA FORNITURA DI ACCELERATORI LINEARI PER LE AZIENDE DEL SERVIZIO SANITARIO REGIONALE DEL FRIULI VENEZIA GIULIA”</w:t>
            </w:r>
            <w:r w:rsidRPr="007C7154">
              <w:rPr>
                <w:rFonts w:asciiTheme="majorHAnsi" w:hAnsiTheme="majorHAnsi"/>
              </w:rPr>
              <w:t xml:space="preserve"> ed al </w:t>
            </w:r>
            <w:r w:rsidRPr="007C7154">
              <w:rPr>
                <w:rFonts w:asciiTheme="majorHAnsi" w:hAnsiTheme="majorHAnsi"/>
                <w:b/>
                <w:bCs/>
              </w:rPr>
              <w:t>LOTTO N 2 (ASUIUD)</w:t>
            </w:r>
            <w:r w:rsidRPr="007C7154">
              <w:rPr>
                <w:rFonts w:asciiTheme="majorHAnsi" w:hAnsiTheme="majorHAnsi"/>
              </w:rPr>
              <w:t xml:space="preserve">, la </w:t>
            </w:r>
            <w:r w:rsidRPr="007C7154">
              <w:rPr>
                <w:rFonts w:asciiTheme="majorHAnsi" w:hAnsiTheme="majorHAnsi"/>
                <w:b/>
                <w:bCs/>
              </w:rPr>
              <w:t>sezione “4. Specifiche tecniche”</w:t>
            </w:r>
            <w:r w:rsidRPr="007C7154">
              <w:rPr>
                <w:rFonts w:asciiTheme="majorHAnsi" w:hAnsiTheme="majorHAnsi"/>
              </w:rPr>
              <w:t xml:space="preserve"> riporta quanto segue, tra le dotazioni base del sistema informativo di pianificazione dei trattamenti (TPS) (pena l’esclusione):</w:t>
            </w:r>
          </w:p>
          <w:p w:rsidR="00831F3A" w:rsidRPr="007C7154" w:rsidRDefault="00831F3A" w:rsidP="00831F3A">
            <w:pPr>
              <w:jc w:val="both"/>
              <w:rPr>
                <w:rFonts w:asciiTheme="majorHAnsi" w:hAnsiTheme="majorHAnsi"/>
              </w:rPr>
            </w:pPr>
          </w:p>
          <w:p w:rsidR="00831F3A" w:rsidRPr="007C7154" w:rsidRDefault="00831F3A" w:rsidP="00831F3A">
            <w:pPr>
              <w:jc w:val="both"/>
              <w:rPr>
                <w:rFonts w:asciiTheme="majorHAnsi" w:hAnsiTheme="majorHAnsi"/>
              </w:rPr>
            </w:pPr>
            <w:r w:rsidRPr="007C7154">
              <w:rPr>
                <w:rFonts w:asciiTheme="majorHAnsi" w:hAnsiTheme="majorHAnsi"/>
              </w:rPr>
              <w:lastRenderedPageBreak/>
              <w:t>In particolare le stazioni fornite devono poter utilizzare, disponendo delle licenze software necessarie (il cui numero minimo è indicato tra parentesi quadre)</w:t>
            </w:r>
            <w:r w:rsidRPr="007C7154">
              <w:rPr>
                <w:rFonts w:asciiTheme="majorHAnsi" w:hAnsiTheme="majorHAnsi"/>
                <w:b/>
                <w:bCs/>
              </w:rPr>
              <w:t xml:space="preserve"> </w:t>
            </w:r>
            <w:r w:rsidRPr="007C7154">
              <w:rPr>
                <w:rFonts w:asciiTheme="majorHAnsi" w:hAnsiTheme="majorHAnsi"/>
              </w:rPr>
              <w:t>ed ipotizzando che più utenti lavorino contemporaneamente sui TPS, le seguenti applicazioni:</w:t>
            </w:r>
          </w:p>
          <w:p w:rsidR="00831F3A" w:rsidRPr="007C7154" w:rsidRDefault="00831F3A" w:rsidP="00831F3A">
            <w:pPr>
              <w:jc w:val="both"/>
              <w:rPr>
                <w:rFonts w:asciiTheme="majorHAnsi" w:hAnsiTheme="majorHAnsi"/>
              </w:rPr>
            </w:pPr>
          </w:p>
          <w:tbl>
            <w:tblPr>
              <w:tblW w:w="7626" w:type="dxa"/>
              <w:tblLayout w:type="fixed"/>
              <w:tblCellMar>
                <w:left w:w="0" w:type="dxa"/>
                <w:right w:w="0" w:type="dxa"/>
              </w:tblCellMar>
              <w:tblLook w:val="04A0"/>
            </w:tblPr>
            <w:tblGrid>
              <w:gridCol w:w="5941"/>
              <w:gridCol w:w="1685"/>
            </w:tblGrid>
            <w:tr w:rsidR="00831F3A" w:rsidRPr="007C7154" w:rsidTr="00831F3A">
              <w:trPr>
                <w:trHeight w:val="564"/>
              </w:trPr>
              <w:tc>
                <w:tcPr>
                  <w:tcW w:w="59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31F3A" w:rsidRPr="007C7154" w:rsidRDefault="00831F3A" w:rsidP="00831F3A">
                  <w:pPr>
                    <w:spacing w:after="0" w:line="240" w:lineRule="auto"/>
                    <w:jc w:val="both"/>
                    <w:rPr>
                      <w:rFonts w:asciiTheme="majorHAnsi" w:hAnsiTheme="majorHAnsi"/>
                    </w:rPr>
                  </w:pPr>
                  <w:r w:rsidRPr="007C7154">
                    <w:rPr>
                      <w:rFonts w:asciiTheme="majorHAnsi" w:hAnsiTheme="majorHAnsi"/>
                    </w:rPr>
                    <w:t xml:space="preserve">pianificazione di trattamenti conformazionali (MLC) in cui si utilizzano campi rotazionali e campi fissi, sia </w:t>
                  </w:r>
                  <w:proofErr w:type="spellStart"/>
                  <w:r w:rsidRPr="007C7154">
                    <w:rPr>
                      <w:rFonts w:asciiTheme="majorHAnsi" w:hAnsiTheme="majorHAnsi"/>
                    </w:rPr>
                    <w:t>coplanari</w:t>
                  </w:r>
                  <w:proofErr w:type="spellEnd"/>
                  <w:r w:rsidRPr="007C7154">
                    <w:rPr>
                      <w:rFonts w:asciiTheme="majorHAnsi" w:hAnsiTheme="majorHAnsi"/>
                    </w:rPr>
                    <w:t xml:space="preserve"> che non </w:t>
                  </w:r>
                  <w:proofErr w:type="spellStart"/>
                  <w:r w:rsidRPr="007C7154">
                    <w:rPr>
                      <w:rFonts w:asciiTheme="majorHAnsi" w:hAnsiTheme="majorHAnsi"/>
                    </w:rPr>
                    <w:t>coplanari</w:t>
                  </w:r>
                  <w:proofErr w:type="spellEnd"/>
                  <w:r w:rsidRPr="007C7154">
                    <w:rPr>
                      <w:rFonts w:asciiTheme="majorHAnsi" w:hAnsiTheme="majorHAnsi"/>
                    </w:rPr>
                    <w:t>, di fotoni [2];</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31F3A" w:rsidRPr="007C7154" w:rsidRDefault="00831F3A" w:rsidP="00831F3A">
                  <w:pPr>
                    <w:spacing w:after="0" w:line="240" w:lineRule="auto"/>
                    <w:jc w:val="both"/>
                    <w:rPr>
                      <w:rFonts w:asciiTheme="majorHAnsi" w:hAnsiTheme="majorHAnsi"/>
                    </w:rPr>
                  </w:pPr>
                </w:p>
              </w:tc>
            </w:tr>
            <w:tr w:rsidR="00831F3A" w:rsidRPr="007C7154" w:rsidTr="00831F3A">
              <w:trPr>
                <w:trHeight w:val="838"/>
              </w:trPr>
              <w:tc>
                <w:tcPr>
                  <w:tcW w:w="59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F3A" w:rsidRPr="007C7154" w:rsidRDefault="00831F3A" w:rsidP="00831F3A">
                  <w:pPr>
                    <w:spacing w:after="0" w:line="240" w:lineRule="auto"/>
                    <w:jc w:val="both"/>
                    <w:rPr>
                      <w:rFonts w:asciiTheme="majorHAnsi" w:hAnsiTheme="majorHAnsi"/>
                    </w:rPr>
                  </w:pPr>
                  <w:r w:rsidRPr="007C7154">
                    <w:rPr>
                      <w:rFonts w:asciiTheme="majorHAnsi" w:hAnsiTheme="majorHAnsi"/>
                    </w:rPr>
                    <w:t>pianificazione di trattamenti IMRT a campi fissi, sia in modalità statica (</w:t>
                  </w:r>
                  <w:proofErr w:type="spellStart"/>
                  <w:r w:rsidRPr="007C7154">
                    <w:rPr>
                      <w:rFonts w:asciiTheme="majorHAnsi" w:hAnsiTheme="majorHAnsi"/>
                    </w:rPr>
                    <w:t>step</w:t>
                  </w:r>
                  <w:proofErr w:type="spellEnd"/>
                  <w:r w:rsidRPr="007C7154">
                    <w:rPr>
                      <w:rFonts w:asciiTheme="majorHAnsi" w:hAnsiTheme="majorHAnsi"/>
                    </w:rPr>
                    <w:t xml:space="preserve"> and </w:t>
                  </w:r>
                  <w:proofErr w:type="spellStart"/>
                  <w:r w:rsidRPr="007C7154">
                    <w:rPr>
                      <w:rFonts w:asciiTheme="majorHAnsi" w:hAnsiTheme="majorHAnsi"/>
                    </w:rPr>
                    <w:t>shoot</w:t>
                  </w:r>
                  <w:proofErr w:type="spellEnd"/>
                  <w:r w:rsidRPr="007C7154">
                    <w:rPr>
                      <w:rFonts w:asciiTheme="majorHAnsi" w:hAnsiTheme="majorHAnsi"/>
                    </w:rPr>
                    <w:t>) che dinamica (</w:t>
                  </w:r>
                  <w:proofErr w:type="spellStart"/>
                  <w:r w:rsidRPr="007C7154">
                    <w:rPr>
                      <w:rFonts w:asciiTheme="majorHAnsi" w:hAnsiTheme="majorHAnsi"/>
                    </w:rPr>
                    <w:t>sliding</w:t>
                  </w:r>
                  <w:proofErr w:type="spellEnd"/>
                  <w:r w:rsidRPr="007C7154">
                    <w:rPr>
                      <w:rFonts w:asciiTheme="majorHAnsi" w:hAnsiTheme="majorHAnsi"/>
                    </w:rPr>
                    <w:t xml:space="preserve"> </w:t>
                  </w:r>
                  <w:proofErr w:type="spellStart"/>
                  <w:r w:rsidRPr="007C7154">
                    <w:rPr>
                      <w:rFonts w:asciiTheme="majorHAnsi" w:hAnsiTheme="majorHAnsi"/>
                    </w:rPr>
                    <w:t>window</w:t>
                  </w:r>
                  <w:proofErr w:type="spellEnd"/>
                  <w:r w:rsidRPr="007C7154">
                    <w:rPr>
                      <w:rFonts w:asciiTheme="majorHAnsi" w:hAnsiTheme="majorHAnsi"/>
                    </w:rPr>
                    <w:t>), per tutte le energie fotoniche dell’unità radiante fornita in gara e degli altri acceleratori [1];</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831F3A" w:rsidRPr="007C7154" w:rsidRDefault="00831F3A" w:rsidP="00831F3A">
                  <w:pPr>
                    <w:spacing w:after="0" w:line="240" w:lineRule="auto"/>
                    <w:jc w:val="both"/>
                    <w:rPr>
                      <w:rFonts w:asciiTheme="majorHAnsi" w:hAnsiTheme="majorHAnsi"/>
                    </w:rPr>
                  </w:pPr>
                </w:p>
              </w:tc>
            </w:tr>
            <w:tr w:rsidR="00831F3A" w:rsidRPr="007C7154" w:rsidTr="00831F3A">
              <w:trPr>
                <w:trHeight w:val="290"/>
              </w:trPr>
              <w:tc>
                <w:tcPr>
                  <w:tcW w:w="59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31F3A" w:rsidRPr="007C7154" w:rsidRDefault="00831F3A" w:rsidP="00831F3A">
                  <w:pPr>
                    <w:spacing w:after="0" w:line="240" w:lineRule="auto"/>
                    <w:jc w:val="both"/>
                    <w:rPr>
                      <w:rFonts w:asciiTheme="majorHAnsi" w:hAnsiTheme="majorHAnsi"/>
                    </w:rPr>
                  </w:pPr>
                  <w:r w:rsidRPr="007C7154">
                    <w:rPr>
                      <w:rFonts w:asciiTheme="majorHAnsi" w:hAnsiTheme="majorHAnsi"/>
                    </w:rPr>
                    <w:t>pianificazione di trattamenti VMAT [1];</w:t>
                  </w:r>
                </w:p>
              </w:tc>
              <w:tc>
                <w:tcPr>
                  <w:tcW w:w="1685" w:type="dxa"/>
                  <w:tcBorders>
                    <w:top w:val="nil"/>
                    <w:left w:val="nil"/>
                    <w:bottom w:val="single" w:sz="8" w:space="0" w:color="auto"/>
                    <w:right w:val="single" w:sz="8" w:space="0" w:color="auto"/>
                  </w:tcBorders>
                  <w:tcMar>
                    <w:top w:w="0" w:type="dxa"/>
                    <w:left w:w="108" w:type="dxa"/>
                    <w:bottom w:w="0" w:type="dxa"/>
                    <w:right w:w="108" w:type="dxa"/>
                  </w:tcMar>
                </w:tcPr>
                <w:p w:rsidR="00831F3A" w:rsidRPr="007C7154" w:rsidRDefault="00831F3A" w:rsidP="00831F3A">
                  <w:pPr>
                    <w:spacing w:after="0" w:line="240" w:lineRule="auto"/>
                    <w:jc w:val="both"/>
                    <w:rPr>
                      <w:rFonts w:asciiTheme="majorHAnsi" w:hAnsiTheme="majorHAnsi"/>
                    </w:rPr>
                  </w:pPr>
                </w:p>
              </w:tc>
            </w:tr>
          </w:tbl>
          <w:p w:rsidR="00831F3A" w:rsidRPr="007C7154" w:rsidRDefault="00831F3A" w:rsidP="00831F3A">
            <w:pPr>
              <w:jc w:val="both"/>
              <w:rPr>
                <w:rFonts w:asciiTheme="majorHAnsi" w:hAnsiTheme="majorHAnsi"/>
                <w:i/>
                <w:iCs/>
              </w:rPr>
            </w:pPr>
            <w:r w:rsidRPr="007C7154">
              <w:rPr>
                <w:rFonts w:asciiTheme="majorHAnsi" w:hAnsiTheme="majorHAnsi"/>
                <w:i/>
                <w:iCs/>
              </w:rPr>
              <w:t>(pagina 42)</w:t>
            </w:r>
          </w:p>
          <w:p w:rsidR="00831F3A" w:rsidRPr="007C7154" w:rsidRDefault="00831F3A" w:rsidP="00831F3A">
            <w:pPr>
              <w:jc w:val="both"/>
              <w:rPr>
                <w:rFonts w:asciiTheme="majorHAnsi" w:hAnsiTheme="majorHAnsi"/>
              </w:rPr>
            </w:pPr>
          </w:p>
          <w:p w:rsidR="00831F3A" w:rsidRPr="007C7154" w:rsidRDefault="00831F3A" w:rsidP="00831F3A">
            <w:pPr>
              <w:jc w:val="both"/>
              <w:rPr>
                <w:rFonts w:asciiTheme="majorHAnsi" w:hAnsiTheme="majorHAnsi"/>
              </w:rPr>
            </w:pPr>
            <w:r w:rsidRPr="007C7154">
              <w:rPr>
                <w:rFonts w:asciiTheme="majorHAnsi" w:hAnsiTheme="majorHAnsi"/>
              </w:rPr>
              <w:t>Indipendentemente dal fatto che la configurazione TPS finale complessiva sia ottenuta come aggiornamento all’ ultima versione del software TPS esistente o come sostituzione con nuovo software TPS equivalente, si chiede conferma che:</w:t>
            </w:r>
          </w:p>
          <w:p w:rsidR="00831F3A" w:rsidRPr="007C7154" w:rsidRDefault="00831F3A" w:rsidP="00831F3A">
            <w:pPr>
              <w:numPr>
                <w:ilvl w:val="0"/>
                <w:numId w:val="5"/>
              </w:numPr>
              <w:jc w:val="both"/>
              <w:rPr>
                <w:rFonts w:asciiTheme="majorHAnsi" w:hAnsiTheme="majorHAnsi"/>
              </w:rPr>
            </w:pPr>
            <w:r w:rsidRPr="007C7154">
              <w:rPr>
                <w:rFonts w:asciiTheme="majorHAnsi" w:hAnsiTheme="majorHAnsi"/>
              </w:rPr>
              <w:t xml:space="preserve">la pianificazione di trattamenti conformazionali (MLC) in cui si utilizzano campi rotazionali e campi fissi, sia </w:t>
            </w:r>
            <w:proofErr w:type="spellStart"/>
            <w:r w:rsidRPr="007C7154">
              <w:rPr>
                <w:rFonts w:asciiTheme="majorHAnsi" w:hAnsiTheme="majorHAnsi"/>
              </w:rPr>
              <w:t>coplanari</w:t>
            </w:r>
            <w:proofErr w:type="spellEnd"/>
            <w:r w:rsidRPr="007C7154">
              <w:rPr>
                <w:rFonts w:asciiTheme="majorHAnsi" w:hAnsiTheme="majorHAnsi"/>
              </w:rPr>
              <w:t xml:space="preserve"> che non </w:t>
            </w:r>
            <w:proofErr w:type="spellStart"/>
            <w:r w:rsidRPr="007C7154">
              <w:rPr>
                <w:rFonts w:asciiTheme="majorHAnsi" w:hAnsiTheme="majorHAnsi"/>
              </w:rPr>
              <w:t>coplanari</w:t>
            </w:r>
            <w:proofErr w:type="spellEnd"/>
            <w:r w:rsidRPr="007C7154">
              <w:rPr>
                <w:rFonts w:asciiTheme="majorHAnsi" w:hAnsiTheme="majorHAnsi"/>
              </w:rPr>
              <w:t>, di fotoni debba essere disponibile per un numero minimo pari a due (2) utenti che lavorino contemporaneamente;</w:t>
            </w:r>
          </w:p>
          <w:p w:rsidR="00831F3A" w:rsidRPr="007C7154" w:rsidRDefault="00831F3A" w:rsidP="00831F3A">
            <w:pPr>
              <w:numPr>
                <w:ilvl w:val="0"/>
                <w:numId w:val="5"/>
              </w:numPr>
              <w:jc w:val="both"/>
              <w:rPr>
                <w:rFonts w:asciiTheme="majorHAnsi" w:hAnsiTheme="majorHAnsi"/>
              </w:rPr>
            </w:pPr>
            <w:r w:rsidRPr="007C7154">
              <w:rPr>
                <w:rFonts w:asciiTheme="majorHAnsi" w:hAnsiTheme="majorHAnsi"/>
              </w:rPr>
              <w:t>la pianificazione di trattamenti IMRT a campi fissi, sia in modalità statica (</w:t>
            </w:r>
            <w:proofErr w:type="spellStart"/>
            <w:r w:rsidRPr="007C7154">
              <w:rPr>
                <w:rFonts w:asciiTheme="majorHAnsi" w:hAnsiTheme="majorHAnsi"/>
              </w:rPr>
              <w:t>step</w:t>
            </w:r>
            <w:proofErr w:type="spellEnd"/>
            <w:r w:rsidRPr="007C7154">
              <w:rPr>
                <w:rFonts w:asciiTheme="majorHAnsi" w:hAnsiTheme="majorHAnsi"/>
              </w:rPr>
              <w:t xml:space="preserve"> and </w:t>
            </w:r>
            <w:proofErr w:type="spellStart"/>
            <w:r w:rsidRPr="007C7154">
              <w:rPr>
                <w:rFonts w:asciiTheme="majorHAnsi" w:hAnsiTheme="majorHAnsi"/>
              </w:rPr>
              <w:t>shoot</w:t>
            </w:r>
            <w:proofErr w:type="spellEnd"/>
            <w:r w:rsidRPr="007C7154">
              <w:rPr>
                <w:rFonts w:asciiTheme="majorHAnsi" w:hAnsiTheme="majorHAnsi"/>
              </w:rPr>
              <w:t>) che dinamica (</w:t>
            </w:r>
            <w:proofErr w:type="spellStart"/>
            <w:r w:rsidRPr="007C7154">
              <w:rPr>
                <w:rFonts w:asciiTheme="majorHAnsi" w:hAnsiTheme="majorHAnsi"/>
              </w:rPr>
              <w:t>sliding</w:t>
            </w:r>
            <w:proofErr w:type="spellEnd"/>
            <w:r w:rsidRPr="007C7154">
              <w:rPr>
                <w:rFonts w:asciiTheme="majorHAnsi" w:hAnsiTheme="majorHAnsi"/>
              </w:rPr>
              <w:t xml:space="preserve"> </w:t>
            </w:r>
            <w:proofErr w:type="spellStart"/>
            <w:r w:rsidRPr="007C7154">
              <w:rPr>
                <w:rFonts w:asciiTheme="majorHAnsi" w:hAnsiTheme="majorHAnsi"/>
              </w:rPr>
              <w:t>window</w:t>
            </w:r>
            <w:proofErr w:type="spellEnd"/>
            <w:r w:rsidRPr="007C7154">
              <w:rPr>
                <w:rFonts w:asciiTheme="majorHAnsi" w:hAnsiTheme="majorHAnsi"/>
              </w:rPr>
              <w:t>), per tutte le energie fotoniche dell’unità radiante fornita in gara e degli altri acceleratori debba essere disponibile per un numero minimo pari ad uno (1) utenti che lavorino contemporaneamente;</w:t>
            </w:r>
          </w:p>
          <w:p w:rsidR="00831F3A" w:rsidRPr="007C7154" w:rsidRDefault="00831F3A" w:rsidP="00831F3A">
            <w:pPr>
              <w:numPr>
                <w:ilvl w:val="0"/>
                <w:numId w:val="5"/>
              </w:numPr>
              <w:jc w:val="both"/>
              <w:rPr>
                <w:rFonts w:asciiTheme="majorHAnsi" w:hAnsiTheme="majorHAnsi"/>
              </w:rPr>
            </w:pPr>
            <w:r w:rsidRPr="007C7154">
              <w:rPr>
                <w:rFonts w:asciiTheme="majorHAnsi" w:hAnsiTheme="majorHAnsi"/>
              </w:rPr>
              <w:t>la pianificazione di trattamenti VMAT debba essere disponibile per un numero minimo pari ad uno (1) utenti che lavorino contemporaneamente.</w:t>
            </w:r>
          </w:p>
          <w:p w:rsidR="00831F3A" w:rsidRPr="00863C27" w:rsidRDefault="00831F3A" w:rsidP="00831F3A">
            <w:pPr>
              <w:jc w:val="both"/>
              <w:rPr>
                <w:rFonts w:asciiTheme="majorHAnsi" w:hAnsiTheme="majorHAnsi"/>
                <w:highlight w:val="yellow"/>
              </w:rPr>
            </w:pPr>
          </w:p>
          <w:p w:rsidR="00831F3A" w:rsidRPr="00620601" w:rsidRDefault="00831F3A" w:rsidP="00831F3A">
            <w:pPr>
              <w:jc w:val="both"/>
              <w:rPr>
                <w:rFonts w:asciiTheme="majorHAnsi" w:hAnsiTheme="majorHAnsi"/>
                <w:b/>
                <w:bCs/>
                <w:u w:val="single"/>
              </w:rPr>
            </w:pPr>
            <w:r w:rsidRPr="00620601">
              <w:rPr>
                <w:rFonts w:asciiTheme="majorHAnsi" w:hAnsiTheme="majorHAnsi"/>
                <w:b/>
                <w:bCs/>
                <w:u w:val="single"/>
              </w:rPr>
              <w:t>Quesiti di natura amministrativa</w:t>
            </w:r>
          </w:p>
          <w:p w:rsidR="00831F3A" w:rsidRPr="00620601" w:rsidRDefault="00831F3A" w:rsidP="00831F3A">
            <w:pPr>
              <w:jc w:val="both"/>
              <w:rPr>
                <w:rFonts w:asciiTheme="majorHAnsi" w:hAnsiTheme="majorHAnsi"/>
                <w:b/>
                <w:bCs/>
                <w:u w:val="single"/>
              </w:rPr>
            </w:pPr>
          </w:p>
          <w:p w:rsidR="00831F3A" w:rsidRPr="00620601" w:rsidRDefault="00831F3A" w:rsidP="00831F3A">
            <w:pPr>
              <w:numPr>
                <w:ilvl w:val="0"/>
                <w:numId w:val="5"/>
              </w:numPr>
              <w:jc w:val="both"/>
              <w:rPr>
                <w:rFonts w:asciiTheme="majorHAnsi" w:hAnsiTheme="majorHAnsi"/>
              </w:rPr>
            </w:pPr>
            <w:proofErr w:type="spellStart"/>
            <w:r w:rsidRPr="00620601">
              <w:rPr>
                <w:rFonts w:asciiTheme="majorHAnsi" w:hAnsiTheme="majorHAnsi"/>
              </w:rPr>
              <w:t>Elekta</w:t>
            </w:r>
            <w:proofErr w:type="spellEnd"/>
            <w:r w:rsidRPr="00620601">
              <w:rPr>
                <w:rFonts w:asciiTheme="majorHAnsi" w:hAnsiTheme="majorHAnsi"/>
              </w:rPr>
              <w:t xml:space="preserve"> S.p.A. è iscritta ad un Consorzio RAE professionali denominato </w:t>
            </w:r>
            <w:proofErr w:type="spellStart"/>
            <w:r w:rsidRPr="00620601">
              <w:rPr>
                <w:rFonts w:asciiTheme="majorHAnsi" w:hAnsiTheme="majorHAnsi"/>
              </w:rPr>
              <w:t>Weee-Safe</w:t>
            </w:r>
            <w:proofErr w:type="spellEnd"/>
            <w:r w:rsidRPr="00620601">
              <w:rPr>
                <w:rFonts w:asciiTheme="majorHAnsi" w:hAnsiTheme="majorHAnsi"/>
              </w:rPr>
              <w:t xml:space="preserve"> Professional al n. IT1412000037, per la gestione dello smaltimento dei rifiuti speciali (RAE),  ai fini dello smaltimento dell’acceleratore lineare </w:t>
            </w:r>
            <w:proofErr w:type="spellStart"/>
            <w:r w:rsidRPr="00620601">
              <w:rPr>
                <w:rFonts w:asciiTheme="majorHAnsi" w:hAnsiTheme="majorHAnsi"/>
              </w:rPr>
              <w:t>Varian</w:t>
            </w:r>
            <w:proofErr w:type="spellEnd"/>
            <w:r w:rsidRPr="00620601">
              <w:rPr>
                <w:rFonts w:asciiTheme="majorHAnsi" w:hAnsiTheme="majorHAnsi"/>
              </w:rPr>
              <w:t xml:space="preserve"> 600C si affiderebbe pertanto al </w:t>
            </w:r>
            <w:proofErr w:type="spellStart"/>
            <w:r w:rsidRPr="00620601">
              <w:rPr>
                <w:rFonts w:asciiTheme="majorHAnsi" w:hAnsiTheme="majorHAnsi"/>
              </w:rPr>
              <w:t>summezionato</w:t>
            </w:r>
            <w:proofErr w:type="spellEnd"/>
            <w:r w:rsidRPr="00620601">
              <w:rPr>
                <w:rFonts w:asciiTheme="majorHAnsi" w:hAnsiTheme="majorHAnsi"/>
              </w:rPr>
              <w:t xml:space="preserve"> consorzio ai sensi dell’art. 10 del  D. Lgs. </w:t>
            </w:r>
            <w:r w:rsidRPr="00620601">
              <w:rPr>
                <w:rFonts w:asciiTheme="majorHAnsi" w:hAnsiTheme="majorHAnsi"/>
              </w:rPr>
              <w:lastRenderedPageBreak/>
              <w:t>49/2014 – Sistemi Collettivi di finanziamento.</w:t>
            </w:r>
          </w:p>
          <w:p w:rsidR="00831F3A" w:rsidRPr="00620601" w:rsidRDefault="00831F3A" w:rsidP="00831F3A">
            <w:pPr>
              <w:jc w:val="both"/>
              <w:rPr>
                <w:rFonts w:asciiTheme="majorHAnsi" w:hAnsiTheme="majorHAnsi"/>
              </w:rPr>
            </w:pPr>
            <w:r w:rsidRPr="00620601">
              <w:rPr>
                <w:rFonts w:asciiTheme="majorHAnsi" w:hAnsiTheme="majorHAnsi"/>
              </w:rPr>
              <w:t>Il Consorzio si servirà di aziende specializzate nello smontaggio, nella caratterizzazione dei rifiuti radioattivi (misure radiometriche a mezzo esperto qualificato) oltre alla parte convenzionale (rifiuti speciali) per la quale utilizzerà soggetti iscritti alle categorie 4 e 5 dell’Albo Nazionale Gestione Ambientale.</w:t>
            </w:r>
          </w:p>
          <w:p w:rsidR="00831F3A" w:rsidRPr="00620601" w:rsidRDefault="00831F3A" w:rsidP="00831F3A">
            <w:pPr>
              <w:jc w:val="both"/>
              <w:rPr>
                <w:rFonts w:asciiTheme="majorHAnsi" w:hAnsiTheme="majorHAnsi"/>
              </w:rPr>
            </w:pPr>
            <w:proofErr w:type="spellStart"/>
            <w:r w:rsidRPr="00620601">
              <w:rPr>
                <w:rFonts w:asciiTheme="majorHAnsi" w:hAnsiTheme="majorHAnsi"/>
              </w:rPr>
              <w:t>Elekta</w:t>
            </w:r>
            <w:proofErr w:type="spellEnd"/>
            <w:r w:rsidRPr="00620601">
              <w:rPr>
                <w:rFonts w:asciiTheme="majorHAnsi" w:hAnsiTheme="majorHAnsi"/>
              </w:rPr>
              <w:t xml:space="preserve"> in quanto socio del sopra citato consorzio  chiede di confermare che il passaggio dell’attività al Consorzio non sia da considerasi Subappalto.</w:t>
            </w:r>
          </w:p>
          <w:p w:rsidR="00831F3A" w:rsidRPr="00620601" w:rsidRDefault="00831F3A" w:rsidP="00831F3A">
            <w:pPr>
              <w:numPr>
                <w:ilvl w:val="0"/>
                <w:numId w:val="6"/>
              </w:numPr>
              <w:jc w:val="both"/>
              <w:rPr>
                <w:rFonts w:asciiTheme="majorHAnsi" w:hAnsiTheme="majorHAnsi"/>
              </w:rPr>
            </w:pPr>
            <w:r w:rsidRPr="00620601">
              <w:rPr>
                <w:rFonts w:asciiTheme="majorHAnsi" w:hAnsiTheme="majorHAnsi"/>
              </w:rPr>
              <w:t xml:space="preserve">Al fine dell’individuazione dei requisiti richiesti ai sensi degli art. 83 lettera b) e lettera c) capacità economica e finanziaria e tecnica e professionale di cui al D. Lgs. 50/2016 da inserire nel pass OE, al momento non ancora rilasciato,  si prega cortesemente di anticiparne i contenuti, se diversi da quanto già indicato nel bando di gara, che non specifica niente per quanto riguarda i requisiti economici e finanziari (punto III.1.2).  </w:t>
            </w:r>
          </w:p>
          <w:p w:rsidR="00831F3A" w:rsidRPr="00620601" w:rsidRDefault="00831F3A" w:rsidP="00831F3A">
            <w:pPr>
              <w:numPr>
                <w:ilvl w:val="0"/>
                <w:numId w:val="6"/>
              </w:numPr>
              <w:jc w:val="both"/>
              <w:rPr>
                <w:rFonts w:asciiTheme="majorHAnsi" w:hAnsiTheme="majorHAnsi"/>
              </w:rPr>
            </w:pPr>
            <w:r w:rsidRPr="00620601">
              <w:rPr>
                <w:rFonts w:asciiTheme="majorHAnsi" w:hAnsiTheme="majorHAnsi"/>
              </w:rPr>
              <w:t xml:space="preserve">Il  CSA di gara sia per il Lotto 1 (CRO Aviano) che per il lotto 2 (ASUIUD), per l’ottenimento del </w:t>
            </w:r>
            <w:proofErr w:type="spellStart"/>
            <w:r w:rsidRPr="00620601">
              <w:rPr>
                <w:rFonts w:asciiTheme="majorHAnsi" w:hAnsiTheme="majorHAnsi"/>
              </w:rPr>
              <w:t>PssOE</w:t>
            </w:r>
            <w:proofErr w:type="spellEnd"/>
            <w:r w:rsidRPr="00620601">
              <w:rPr>
                <w:rFonts w:asciiTheme="majorHAnsi" w:hAnsiTheme="majorHAnsi"/>
              </w:rPr>
              <w:t>, fa riferimento ad un allegato B alle norme di partecipazione che pare non sia stato incluso nella documentazione di gara.</w:t>
            </w:r>
          </w:p>
          <w:p w:rsidR="00831F3A" w:rsidRPr="00620601" w:rsidRDefault="00831F3A" w:rsidP="00831F3A">
            <w:pPr>
              <w:jc w:val="both"/>
              <w:rPr>
                <w:rFonts w:asciiTheme="majorHAnsi" w:hAnsiTheme="majorHAnsi"/>
              </w:rPr>
            </w:pPr>
            <w:r w:rsidRPr="00620601">
              <w:rPr>
                <w:rFonts w:asciiTheme="majorHAnsi" w:hAnsiTheme="majorHAnsi"/>
              </w:rPr>
              <w:t>L’unico allegato B (al disciplinare di gara) risulterebbe essere il Patto di Integrità.</w:t>
            </w:r>
          </w:p>
          <w:p w:rsidR="00606E37" w:rsidRPr="00606E37" w:rsidRDefault="00831F3A" w:rsidP="00831F3A">
            <w:pPr>
              <w:jc w:val="both"/>
              <w:rPr>
                <w:rFonts w:asciiTheme="majorHAnsi" w:hAnsiTheme="majorHAnsi"/>
                <w:highlight w:val="yellow"/>
              </w:rPr>
            </w:pPr>
            <w:r w:rsidRPr="00620601">
              <w:rPr>
                <w:rFonts w:asciiTheme="majorHAnsi" w:hAnsiTheme="majorHAnsi"/>
              </w:rPr>
              <w:t xml:space="preserve">Vi chiediamo cortesemente un chiarimento in </w:t>
            </w:r>
            <w:proofErr w:type="spellStart"/>
            <w:r w:rsidRPr="00620601">
              <w:rPr>
                <w:rFonts w:asciiTheme="majorHAnsi" w:hAnsiTheme="majorHAnsi"/>
              </w:rPr>
              <w:t>propostio</w:t>
            </w:r>
            <w:proofErr w:type="spellEnd"/>
            <w:r w:rsidRPr="00620601">
              <w:rPr>
                <w:rFonts w:asciiTheme="majorHAnsi" w:hAnsiTheme="majorHAnsi"/>
              </w:rPr>
              <w:t>.</w:t>
            </w:r>
          </w:p>
        </w:tc>
        <w:tc>
          <w:tcPr>
            <w:tcW w:w="6315" w:type="dxa"/>
            <w:gridSpan w:val="2"/>
          </w:tcPr>
          <w:p w:rsidR="007C7154" w:rsidRPr="007C7154" w:rsidRDefault="007C7154" w:rsidP="007C7154">
            <w:pPr>
              <w:pStyle w:val="NormaleWeb"/>
              <w:rPr>
                <w:rFonts w:asciiTheme="majorHAnsi" w:hAnsiTheme="majorHAnsi" w:cs="Tahoma"/>
                <w:color w:val="000000"/>
                <w:sz w:val="22"/>
                <w:szCs w:val="22"/>
              </w:rPr>
            </w:pPr>
            <w:r w:rsidRPr="007C7154">
              <w:rPr>
                <w:rFonts w:asciiTheme="majorHAnsi" w:hAnsiTheme="majorHAnsi" w:cs="Tahoma"/>
                <w:color w:val="000000"/>
                <w:sz w:val="22"/>
                <w:szCs w:val="22"/>
              </w:rPr>
              <w:lastRenderedPageBreak/>
              <w:t>LOTTO 1 CRO</w:t>
            </w:r>
          </w:p>
          <w:p w:rsidR="007C7154" w:rsidRPr="007C7154" w:rsidRDefault="007C7154" w:rsidP="007C7154">
            <w:pPr>
              <w:numPr>
                <w:ilvl w:val="0"/>
                <w:numId w:val="4"/>
              </w:numPr>
              <w:jc w:val="both"/>
              <w:rPr>
                <w:rFonts w:asciiTheme="majorHAnsi" w:hAnsiTheme="majorHAnsi"/>
              </w:rPr>
            </w:pPr>
            <w:r w:rsidRPr="007C7154">
              <w:rPr>
                <w:rFonts w:asciiTheme="majorHAnsi" w:hAnsiTheme="majorHAnsi"/>
              </w:rPr>
              <w:t>Contratti di manutenzione di tipo “</w:t>
            </w:r>
            <w:proofErr w:type="spellStart"/>
            <w:r w:rsidRPr="007C7154">
              <w:rPr>
                <w:rFonts w:asciiTheme="majorHAnsi" w:hAnsiTheme="majorHAnsi"/>
              </w:rPr>
              <w:t>Full-Risk</w:t>
            </w:r>
            <w:proofErr w:type="spellEnd"/>
            <w:r w:rsidRPr="007C7154">
              <w:rPr>
                <w:rFonts w:asciiTheme="majorHAnsi" w:hAnsiTheme="majorHAnsi"/>
              </w:rPr>
              <w:t>” per il periodo successivo a quello di garanzia, da attivarsi anche non consecutivamente alla scadenza della stessa, ed erogati a condizioni almeno pari a quelle specificate nei rispettivi allegati: SI CONFERMA LA RICHIESTA DEL CSA</w:t>
            </w:r>
          </w:p>
          <w:p w:rsidR="007C7154" w:rsidRPr="007C7154" w:rsidRDefault="007C7154" w:rsidP="007C7154">
            <w:pPr>
              <w:numPr>
                <w:ilvl w:val="0"/>
                <w:numId w:val="4"/>
              </w:numPr>
              <w:jc w:val="both"/>
              <w:rPr>
                <w:rFonts w:asciiTheme="majorHAnsi" w:hAnsiTheme="majorHAnsi"/>
              </w:rPr>
            </w:pPr>
            <w:r w:rsidRPr="007C7154">
              <w:rPr>
                <w:rFonts w:asciiTheme="majorHAnsi" w:hAnsiTheme="majorHAnsi"/>
              </w:rPr>
              <w:t xml:space="preserve">Lettino robotizzato a 6 gradi di libertà e Sistema per IGRT basato su immagini radiografiche stereoscopiche acquisite mediante tubi radiogeni: TRATTASI </w:t>
            </w:r>
            <w:proofErr w:type="spellStart"/>
            <w:r w:rsidRPr="007C7154">
              <w:rPr>
                <w:rFonts w:asciiTheme="majorHAnsi" w:hAnsiTheme="majorHAnsi"/>
              </w:rPr>
              <w:t>DI</w:t>
            </w:r>
            <w:proofErr w:type="spellEnd"/>
            <w:r w:rsidRPr="007C7154">
              <w:rPr>
                <w:rFonts w:asciiTheme="majorHAnsi" w:hAnsiTheme="majorHAnsi"/>
              </w:rPr>
              <w:t xml:space="preserve"> REFUSO</w:t>
            </w:r>
          </w:p>
          <w:p w:rsidR="007C7154" w:rsidRPr="007C7154" w:rsidRDefault="007C7154" w:rsidP="007C7154">
            <w:pPr>
              <w:numPr>
                <w:ilvl w:val="0"/>
                <w:numId w:val="4"/>
              </w:numPr>
              <w:jc w:val="both"/>
              <w:rPr>
                <w:rFonts w:asciiTheme="majorHAnsi" w:hAnsiTheme="majorHAnsi"/>
              </w:rPr>
            </w:pPr>
            <w:r w:rsidRPr="007C7154">
              <w:rPr>
                <w:rFonts w:asciiTheme="majorHAnsi" w:hAnsiTheme="majorHAnsi"/>
              </w:rPr>
              <w:t xml:space="preserve">Sistema a guida ottica per la localizzazione e il controllo dei trattamenti complessi: TRATTASI </w:t>
            </w:r>
            <w:proofErr w:type="spellStart"/>
            <w:r w:rsidRPr="007C7154">
              <w:rPr>
                <w:rFonts w:asciiTheme="majorHAnsi" w:hAnsiTheme="majorHAnsi"/>
              </w:rPr>
              <w:t>DI</w:t>
            </w:r>
            <w:proofErr w:type="spellEnd"/>
            <w:r w:rsidRPr="007C7154">
              <w:rPr>
                <w:rFonts w:asciiTheme="majorHAnsi" w:hAnsiTheme="majorHAnsi"/>
              </w:rPr>
              <w:t xml:space="preserve"> REFUSO</w:t>
            </w:r>
          </w:p>
          <w:p w:rsidR="007C7154" w:rsidRDefault="007C7154" w:rsidP="007C7154">
            <w:pPr>
              <w:pStyle w:val="NormaleWeb"/>
              <w:rPr>
                <w:rFonts w:asciiTheme="majorHAnsi" w:hAnsiTheme="majorHAnsi" w:cs="Tahoma"/>
                <w:color w:val="000000"/>
                <w:sz w:val="22"/>
                <w:szCs w:val="22"/>
              </w:rPr>
            </w:pPr>
          </w:p>
          <w:p w:rsidR="007C7154" w:rsidRPr="007C7154" w:rsidRDefault="007C7154" w:rsidP="007C7154">
            <w:pPr>
              <w:pStyle w:val="NormaleWeb"/>
              <w:rPr>
                <w:rFonts w:asciiTheme="majorHAnsi" w:hAnsiTheme="majorHAnsi" w:cs="Tahoma"/>
                <w:b/>
                <w:color w:val="000000"/>
                <w:sz w:val="22"/>
                <w:szCs w:val="22"/>
              </w:rPr>
            </w:pPr>
            <w:r w:rsidRPr="007C7154">
              <w:rPr>
                <w:rFonts w:asciiTheme="majorHAnsi" w:hAnsiTheme="majorHAnsi" w:cs="Tahoma"/>
                <w:b/>
                <w:color w:val="000000"/>
                <w:sz w:val="22"/>
                <w:szCs w:val="22"/>
              </w:rPr>
              <w:t>LOTTO 2 ADUIUD:</w:t>
            </w:r>
          </w:p>
          <w:p w:rsidR="007C7154" w:rsidRPr="007C7154" w:rsidRDefault="007C7154" w:rsidP="007C7154">
            <w:pPr>
              <w:pStyle w:val="NormaleWeb"/>
              <w:rPr>
                <w:rFonts w:asciiTheme="majorHAnsi" w:hAnsiTheme="majorHAnsi" w:cs="Tahoma"/>
                <w:color w:val="000000"/>
                <w:sz w:val="22"/>
                <w:szCs w:val="22"/>
              </w:rPr>
            </w:pPr>
            <w:r w:rsidRPr="007C7154">
              <w:rPr>
                <w:rFonts w:asciiTheme="majorHAnsi" w:hAnsiTheme="majorHAnsi" w:cs="Tahoma"/>
                <w:color w:val="000000"/>
                <w:sz w:val="22"/>
                <w:szCs w:val="22"/>
              </w:rPr>
              <w:t xml:space="preserve">Si precisa che i numeri indicati fra parentesi devono intendersi come quantità minime aggiuntive rispetto alle postazioni attualmente già in uso (indicate nel capitolo </w:t>
            </w:r>
            <w:r w:rsidRPr="007C7154">
              <w:rPr>
                <w:rFonts w:asciiTheme="majorHAnsi" w:hAnsiTheme="majorHAnsi" w:cs="Tahoma"/>
                <w:i/>
                <w:iCs/>
                <w:color w:val="000000"/>
                <w:sz w:val="22"/>
                <w:szCs w:val="22"/>
              </w:rPr>
              <w:t>“2. Contesto attuale di inserimento della fornitura oggetto della presente”</w:t>
            </w:r>
            <w:r w:rsidRPr="007C7154">
              <w:rPr>
                <w:rFonts w:asciiTheme="majorHAnsi" w:hAnsiTheme="majorHAnsi" w:cs="Tahoma"/>
                <w:color w:val="000000"/>
                <w:sz w:val="22"/>
                <w:szCs w:val="22"/>
              </w:rPr>
              <w:t xml:space="preserve"> che, sostanzialmente, precisa quanto segue: </w:t>
            </w:r>
          </w:p>
          <w:p w:rsidR="007C7154" w:rsidRPr="007C7154" w:rsidRDefault="007C7154" w:rsidP="007C7154">
            <w:pPr>
              <w:pStyle w:val="NormaleWeb"/>
              <w:numPr>
                <w:ilvl w:val="0"/>
                <w:numId w:val="8"/>
              </w:numPr>
              <w:rPr>
                <w:rFonts w:asciiTheme="majorHAnsi" w:hAnsiTheme="majorHAnsi" w:cs="Tahoma"/>
                <w:color w:val="000000"/>
                <w:sz w:val="22"/>
                <w:szCs w:val="22"/>
              </w:rPr>
            </w:pPr>
            <w:r w:rsidRPr="007C7154">
              <w:rPr>
                <w:rFonts w:asciiTheme="majorHAnsi" w:hAnsiTheme="majorHAnsi" w:cs="Tahoma"/>
                <w:color w:val="000000"/>
                <w:sz w:val="22"/>
                <w:szCs w:val="22"/>
              </w:rPr>
              <w:t>3 operatori contemporaneamente possono fare planning 3DCRT su ECLIPSE e 2 operatori possono farlo contemporaneamente su ONCENTRA (totale=3+2)</w:t>
            </w:r>
          </w:p>
          <w:p w:rsidR="007C7154" w:rsidRPr="007C7154" w:rsidRDefault="007C7154" w:rsidP="007C7154">
            <w:pPr>
              <w:pStyle w:val="NormaleWeb"/>
              <w:numPr>
                <w:ilvl w:val="0"/>
                <w:numId w:val="8"/>
              </w:numPr>
              <w:rPr>
                <w:rFonts w:asciiTheme="majorHAnsi" w:hAnsiTheme="majorHAnsi" w:cs="Tahoma"/>
                <w:color w:val="000000"/>
                <w:sz w:val="22"/>
                <w:szCs w:val="22"/>
              </w:rPr>
            </w:pPr>
            <w:r w:rsidRPr="007C7154">
              <w:rPr>
                <w:rFonts w:asciiTheme="majorHAnsi" w:hAnsiTheme="majorHAnsi" w:cs="Tahoma"/>
                <w:color w:val="000000"/>
                <w:sz w:val="22"/>
                <w:szCs w:val="22"/>
              </w:rPr>
              <w:t xml:space="preserve">3 operatori possono fare contemporaneamente planning IMRT (S&amp;S+SLINDING WINDOMW) su ECLIPSE </w:t>
            </w:r>
          </w:p>
          <w:p w:rsidR="007C7154" w:rsidRPr="007C7154" w:rsidRDefault="007C7154" w:rsidP="007C7154">
            <w:pPr>
              <w:pStyle w:val="NormaleWeb"/>
              <w:numPr>
                <w:ilvl w:val="0"/>
                <w:numId w:val="8"/>
              </w:numPr>
              <w:rPr>
                <w:rFonts w:asciiTheme="majorHAnsi" w:hAnsiTheme="majorHAnsi" w:cs="Tahoma"/>
                <w:color w:val="000000"/>
                <w:sz w:val="22"/>
                <w:szCs w:val="22"/>
              </w:rPr>
            </w:pPr>
            <w:r w:rsidRPr="007C7154">
              <w:rPr>
                <w:rFonts w:asciiTheme="majorHAnsi" w:hAnsiTheme="majorHAnsi" w:cs="Tahoma"/>
                <w:color w:val="000000"/>
                <w:sz w:val="22"/>
                <w:szCs w:val="22"/>
              </w:rPr>
              <w:t>1 solo operatore può fare VMAT planning su ECLIPSE )</w:t>
            </w:r>
          </w:p>
          <w:p w:rsidR="007C7154" w:rsidRPr="007C7154" w:rsidRDefault="007C7154" w:rsidP="007C7154">
            <w:pPr>
              <w:pStyle w:val="NormaleWeb"/>
              <w:rPr>
                <w:rFonts w:asciiTheme="majorHAnsi" w:hAnsiTheme="majorHAnsi" w:cs="Tahoma"/>
                <w:color w:val="000000"/>
                <w:sz w:val="22"/>
                <w:szCs w:val="22"/>
              </w:rPr>
            </w:pPr>
          </w:p>
          <w:p w:rsidR="007C7154" w:rsidRPr="007C7154" w:rsidRDefault="007C7154" w:rsidP="007C7154">
            <w:pPr>
              <w:pStyle w:val="NormaleWeb"/>
              <w:rPr>
                <w:rFonts w:asciiTheme="majorHAnsi" w:hAnsiTheme="majorHAnsi" w:cs="Tahoma"/>
                <w:color w:val="000000"/>
                <w:sz w:val="22"/>
                <w:szCs w:val="22"/>
              </w:rPr>
            </w:pPr>
          </w:p>
          <w:p w:rsidR="007C7154" w:rsidRPr="007C7154" w:rsidRDefault="007C7154" w:rsidP="007C7154">
            <w:pPr>
              <w:pStyle w:val="NormaleWeb"/>
              <w:rPr>
                <w:rFonts w:asciiTheme="majorHAnsi" w:hAnsiTheme="majorHAnsi" w:cs="Tahoma"/>
                <w:color w:val="000000"/>
                <w:sz w:val="22"/>
                <w:szCs w:val="22"/>
              </w:rPr>
            </w:pPr>
          </w:p>
          <w:p w:rsidR="007C7154" w:rsidRPr="00E77BD0" w:rsidRDefault="007C7154" w:rsidP="007C7154">
            <w:pPr>
              <w:pStyle w:val="NormaleWeb"/>
              <w:rPr>
                <w:rFonts w:asciiTheme="majorHAnsi" w:hAnsiTheme="majorHAnsi" w:cs="Tahoma"/>
                <w:b/>
                <w:color w:val="000000"/>
                <w:sz w:val="22"/>
                <w:szCs w:val="22"/>
              </w:rPr>
            </w:pPr>
            <w:r w:rsidRPr="00E77BD0">
              <w:rPr>
                <w:rFonts w:asciiTheme="majorHAnsi" w:hAnsiTheme="majorHAnsi" w:cs="Tahoma"/>
                <w:b/>
                <w:color w:val="000000"/>
                <w:sz w:val="22"/>
                <w:szCs w:val="22"/>
              </w:rPr>
              <w:t>Quesiti di natura amministrativa</w:t>
            </w:r>
          </w:p>
          <w:p w:rsidR="00E77BD0" w:rsidRDefault="002A7AD2" w:rsidP="007C7154">
            <w:pPr>
              <w:pStyle w:val="NormaleWeb"/>
              <w:numPr>
                <w:ilvl w:val="0"/>
                <w:numId w:val="9"/>
              </w:numPr>
              <w:rPr>
                <w:rFonts w:asciiTheme="majorHAnsi" w:hAnsiTheme="majorHAnsi" w:cs="Tahoma"/>
                <w:color w:val="000000"/>
                <w:sz w:val="22"/>
                <w:szCs w:val="22"/>
              </w:rPr>
            </w:pPr>
            <w:r w:rsidRPr="00E77BD0">
              <w:rPr>
                <w:rFonts w:asciiTheme="majorHAnsi" w:hAnsiTheme="majorHAnsi" w:cs="Tahoma"/>
                <w:color w:val="000000"/>
                <w:sz w:val="22"/>
                <w:szCs w:val="22"/>
              </w:rPr>
              <w:t xml:space="preserve">EGAS:  </w:t>
            </w:r>
            <w:r w:rsidR="00E77BD0" w:rsidRPr="00E77BD0">
              <w:rPr>
                <w:rFonts w:asciiTheme="majorHAnsi" w:hAnsiTheme="majorHAnsi" w:cs="Tahoma"/>
                <w:color w:val="000000"/>
                <w:sz w:val="22"/>
                <w:szCs w:val="22"/>
              </w:rPr>
              <w:t>dagli elementi desunti dalla domanda si rileva che il con</w:t>
            </w:r>
            <w:r w:rsidR="00E77BD0">
              <w:rPr>
                <w:rFonts w:asciiTheme="majorHAnsi" w:hAnsiTheme="majorHAnsi" w:cs="Tahoma"/>
                <w:color w:val="000000"/>
                <w:sz w:val="22"/>
                <w:szCs w:val="22"/>
              </w:rPr>
              <w:t>sorzio sia soggetto autonomo do</w:t>
            </w:r>
            <w:r w:rsidR="00E77BD0" w:rsidRPr="00E77BD0">
              <w:rPr>
                <w:rFonts w:asciiTheme="majorHAnsi" w:hAnsiTheme="majorHAnsi" w:cs="Tahoma"/>
                <w:color w:val="000000"/>
                <w:sz w:val="22"/>
                <w:szCs w:val="22"/>
              </w:rPr>
              <w:t>ta</w:t>
            </w:r>
            <w:r w:rsidR="00E77BD0">
              <w:rPr>
                <w:rFonts w:asciiTheme="majorHAnsi" w:hAnsiTheme="majorHAnsi" w:cs="Tahoma"/>
                <w:color w:val="000000"/>
                <w:sz w:val="22"/>
                <w:szCs w:val="22"/>
              </w:rPr>
              <w:t>t</w:t>
            </w:r>
            <w:r w:rsidR="00E77BD0" w:rsidRPr="00E77BD0">
              <w:rPr>
                <w:rFonts w:asciiTheme="majorHAnsi" w:hAnsiTheme="majorHAnsi" w:cs="Tahoma"/>
                <w:color w:val="000000"/>
                <w:sz w:val="22"/>
                <w:szCs w:val="22"/>
              </w:rPr>
              <w:t xml:space="preserve">o di personalità giuridica propria e pertanto </w:t>
            </w:r>
            <w:r w:rsidRPr="00E77BD0">
              <w:rPr>
                <w:rFonts w:asciiTheme="majorHAnsi" w:hAnsiTheme="majorHAnsi" w:cs="Tahoma"/>
                <w:color w:val="000000"/>
                <w:sz w:val="22"/>
                <w:szCs w:val="22"/>
              </w:rPr>
              <w:t>non è possibile confermare quanto da Voi affermato nella richiesta</w:t>
            </w:r>
            <w:r w:rsidR="00E77BD0" w:rsidRPr="00E77BD0">
              <w:rPr>
                <w:rFonts w:asciiTheme="majorHAnsi" w:hAnsiTheme="majorHAnsi" w:cs="Tahoma"/>
                <w:color w:val="000000"/>
                <w:sz w:val="22"/>
                <w:szCs w:val="22"/>
              </w:rPr>
              <w:t xml:space="preserve"> relativa al subappalto.</w:t>
            </w:r>
          </w:p>
          <w:p w:rsidR="00E77BD0" w:rsidRDefault="00620601" w:rsidP="007C7154">
            <w:pPr>
              <w:pStyle w:val="NormaleWeb"/>
              <w:numPr>
                <w:ilvl w:val="0"/>
                <w:numId w:val="9"/>
              </w:numPr>
              <w:rPr>
                <w:rFonts w:asciiTheme="majorHAnsi" w:hAnsiTheme="majorHAnsi" w:cs="Tahoma"/>
                <w:color w:val="000000"/>
                <w:sz w:val="22"/>
                <w:szCs w:val="22"/>
              </w:rPr>
            </w:pPr>
            <w:r w:rsidRPr="00E77BD0">
              <w:rPr>
                <w:rFonts w:asciiTheme="majorHAnsi" w:hAnsiTheme="majorHAnsi" w:cs="Tahoma"/>
                <w:color w:val="000000"/>
                <w:sz w:val="22"/>
                <w:szCs w:val="22"/>
              </w:rPr>
              <w:t>EGAS: vedere risposta quesito 11</w:t>
            </w:r>
          </w:p>
          <w:p w:rsidR="007C7154" w:rsidRPr="00E77BD0" w:rsidRDefault="002A7AD2" w:rsidP="007C7154">
            <w:pPr>
              <w:pStyle w:val="NormaleWeb"/>
              <w:numPr>
                <w:ilvl w:val="0"/>
                <w:numId w:val="9"/>
              </w:numPr>
              <w:rPr>
                <w:rFonts w:asciiTheme="majorHAnsi" w:hAnsiTheme="majorHAnsi" w:cs="Tahoma"/>
                <w:color w:val="000000"/>
                <w:sz w:val="22"/>
                <w:szCs w:val="22"/>
              </w:rPr>
            </w:pPr>
            <w:r w:rsidRPr="00E77BD0">
              <w:rPr>
                <w:rFonts w:asciiTheme="majorHAnsi" w:hAnsiTheme="majorHAnsi" w:cs="Tahoma"/>
                <w:color w:val="000000"/>
                <w:sz w:val="22"/>
                <w:szCs w:val="22"/>
              </w:rPr>
              <w:t>EGAS: trattasi di refuso, l’allegato b è il patto di integrità</w:t>
            </w:r>
          </w:p>
          <w:p w:rsidR="007C7154" w:rsidRPr="00606E37" w:rsidRDefault="007C7154" w:rsidP="00756E3B">
            <w:pPr>
              <w:rPr>
                <w:rFonts w:asciiTheme="majorHAnsi" w:hAnsiTheme="majorHAnsi"/>
                <w:highlight w:val="yellow"/>
              </w:rPr>
            </w:pPr>
          </w:p>
        </w:tc>
      </w:tr>
      <w:tr w:rsidR="00D1553C" w:rsidRPr="00F67F05" w:rsidTr="00D1553C">
        <w:tc>
          <w:tcPr>
            <w:tcW w:w="8188" w:type="dxa"/>
          </w:tcPr>
          <w:p w:rsidR="00D1553C" w:rsidRPr="0063058C" w:rsidRDefault="00D1553C" w:rsidP="00D1553C">
            <w:pPr>
              <w:rPr>
                <w:rFonts w:asciiTheme="majorHAnsi" w:hAnsiTheme="majorHAnsi"/>
              </w:rPr>
            </w:pPr>
            <w:r w:rsidRPr="0063058C">
              <w:rPr>
                <w:rFonts w:asciiTheme="majorHAnsi" w:hAnsiTheme="majorHAnsi"/>
              </w:rPr>
              <w:lastRenderedPageBreak/>
              <w:t>Quesito n.15</w:t>
            </w:r>
          </w:p>
        </w:tc>
        <w:tc>
          <w:tcPr>
            <w:tcW w:w="6315" w:type="dxa"/>
            <w:gridSpan w:val="2"/>
          </w:tcPr>
          <w:p w:rsidR="00D1553C" w:rsidRPr="0063058C" w:rsidRDefault="00D1553C" w:rsidP="00D1553C">
            <w:pPr>
              <w:rPr>
                <w:rFonts w:asciiTheme="majorHAnsi" w:hAnsiTheme="majorHAnsi"/>
              </w:rPr>
            </w:pPr>
            <w:r w:rsidRPr="0063058C">
              <w:rPr>
                <w:rFonts w:asciiTheme="majorHAnsi" w:hAnsiTheme="majorHAnsi"/>
              </w:rPr>
              <w:t>Risposta n.15</w:t>
            </w:r>
          </w:p>
        </w:tc>
      </w:tr>
      <w:tr w:rsidR="00605D87" w:rsidRPr="00F67F05" w:rsidTr="00831F3A">
        <w:tc>
          <w:tcPr>
            <w:tcW w:w="8188" w:type="dxa"/>
          </w:tcPr>
          <w:p w:rsidR="00D1553C" w:rsidRPr="00D1553C" w:rsidRDefault="00D1553C" w:rsidP="00AA6D4E">
            <w:pPr>
              <w:jc w:val="both"/>
              <w:rPr>
                <w:rFonts w:asciiTheme="majorHAnsi" w:hAnsiTheme="majorHAnsi"/>
                <w:bCs/>
                <w:u w:val="single"/>
              </w:rPr>
            </w:pPr>
            <w:r>
              <w:rPr>
                <w:rFonts w:asciiTheme="majorHAnsi" w:hAnsiTheme="majorHAnsi"/>
                <w:bCs/>
                <w:u w:val="single"/>
              </w:rPr>
              <w:t xml:space="preserve">Domanda </w:t>
            </w:r>
            <w:r w:rsidRPr="00D1553C">
              <w:rPr>
                <w:rFonts w:asciiTheme="majorHAnsi" w:hAnsiTheme="majorHAnsi"/>
                <w:bCs/>
                <w:u w:val="single"/>
              </w:rPr>
              <w:t>1</w:t>
            </w:r>
            <w:r>
              <w:rPr>
                <w:rFonts w:asciiTheme="majorHAnsi" w:hAnsiTheme="majorHAnsi"/>
                <w:bCs/>
                <w:u w:val="single"/>
              </w:rPr>
              <w:t>:</w:t>
            </w:r>
          </w:p>
          <w:p w:rsidR="00605D87" w:rsidRPr="00D1553C" w:rsidRDefault="00AA6D4E" w:rsidP="00AA6D4E">
            <w:pPr>
              <w:jc w:val="both"/>
              <w:rPr>
                <w:rFonts w:asciiTheme="majorHAnsi" w:hAnsiTheme="majorHAnsi"/>
                <w:bCs/>
              </w:rPr>
            </w:pPr>
            <w:r w:rsidRPr="00D1553C">
              <w:rPr>
                <w:rFonts w:asciiTheme="majorHAnsi" w:hAnsiTheme="majorHAnsi"/>
                <w:bCs/>
              </w:rPr>
              <w:t xml:space="preserve">Con particolare riferimenti al Vostro documento “CAPITOLATO SPECIALE PER L’AFFIDAMENTO DELLA FORNITURA DI ACCELATORI LINEARI PER LE AZIENDE DEL SERVIZIO </w:t>
            </w:r>
            <w:r w:rsidR="00484ECB" w:rsidRPr="00D1553C">
              <w:rPr>
                <w:rFonts w:asciiTheme="majorHAnsi" w:hAnsiTheme="majorHAnsi"/>
                <w:bCs/>
              </w:rPr>
              <w:t>SANITARIO REGIONALE DEL FRIULI VENEZIA GIULIA “ed al LOTTO 1 (CRO DI AVIANO)</w:t>
            </w:r>
            <w:r w:rsidR="00492EA5" w:rsidRPr="00D1553C">
              <w:rPr>
                <w:rFonts w:asciiTheme="majorHAnsi" w:hAnsiTheme="majorHAnsi"/>
                <w:bCs/>
              </w:rPr>
              <w:t>,</w:t>
            </w:r>
            <w:r w:rsidR="00484ECB" w:rsidRPr="00D1553C">
              <w:rPr>
                <w:rFonts w:asciiTheme="majorHAnsi" w:hAnsiTheme="majorHAnsi"/>
                <w:bCs/>
              </w:rPr>
              <w:t xml:space="preserve"> </w:t>
            </w:r>
            <w:r w:rsidRPr="00D1553C">
              <w:rPr>
                <w:rFonts w:asciiTheme="majorHAnsi" w:hAnsiTheme="majorHAnsi"/>
                <w:bCs/>
              </w:rPr>
              <w:t xml:space="preserve">la sezione </w:t>
            </w:r>
            <w:r w:rsidR="00484ECB" w:rsidRPr="00D1553C">
              <w:rPr>
                <w:rFonts w:asciiTheme="majorHAnsi" w:hAnsiTheme="majorHAnsi"/>
                <w:bCs/>
              </w:rPr>
              <w:t>“MODALITA’ DI ATTRIBUZION</w:t>
            </w:r>
            <w:r w:rsidR="00492EA5" w:rsidRPr="00D1553C">
              <w:rPr>
                <w:rFonts w:asciiTheme="majorHAnsi" w:hAnsiTheme="majorHAnsi"/>
                <w:bCs/>
              </w:rPr>
              <w:t xml:space="preserve">E DEI PUNTEGGI LOTTO N.1” </w:t>
            </w:r>
            <w:r w:rsidRPr="00D1553C">
              <w:rPr>
                <w:rFonts w:asciiTheme="majorHAnsi" w:hAnsiTheme="majorHAnsi"/>
                <w:bCs/>
              </w:rPr>
              <w:t xml:space="preserve">riporta una tabella con la suddivisione dei 50 punti tecnici. </w:t>
            </w:r>
          </w:p>
          <w:p w:rsidR="00AA6D4E" w:rsidRPr="00D1553C" w:rsidRDefault="00AA6D4E" w:rsidP="00AA6D4E">
            <w:pPr>
              <w:jc w:val="both"/>
              <w:rPr>
                <w:rFonts w:asciiTheme="majorHAnsi" w:hAnsiTheme="majorHAnsi"/>
                <w:bCs/>
              </w:rPr>
            </w:pPr>
            <w:r w:rsidRPr="00D1553C">
              <w:rPr>
                <w:rFonts w:asciiTheme="majorHAnsi" w:hAnsiTheme="majorHAnsi"/>
                <w:bCs/>
              </w:rPr>
              <w:t>All</w:t>
            </w:r>
            <w:r w:rsidR="00492EA5" w:rsidRPr="00D1553C">
              <w:rPr>
                <w:rFonts w:asciiTheme="majorHAnsi" w:hAnsiTheme="majorHAnsi"/>
                <w:bCs/>
              </w:rPr>
              <w:t>’</w:t>
            </w:r>
            <w:r w:rsidRPr="00D1553C">
              <w:rPr>
                <w:rFonts w:asciiTheme="majorHAnsi" w:hAnsiTheme="majorHAnsi"/>
                <w:bCs/>
              </w:rPr>
              <w:t>interno della tabella, nella sezione “parametri caratte</w:t>
            </w:r>
            <w:r w:rsidR="00484ECB" w:rsidRPr="00D1553C">
              <w:rPr>
                <w:rFonts w:asciiTheme="majorHAnsi" w:hAnsiTheme="majorHAnsi"/>
                <w:bCs/>
              </w:rPr>
              <w:t>r</w:t>
            </w:r>
            <w:r w:rsidRPr="00D1553C">
              <w:rPr>
                <w:rFonts w:asciiTheme="majorHAnsi" w:hAnsiTheme="majorHAnsi"/>
                <w:bCs/>
              </w:rPr>
              <w:t xml:space="preserve">istici dei fasci di </w:t>
            </w:r>
            <w:r w:rsidR="00492EA5" w:rsidRPr="00D1553C">
              <w:rPr>
                <w:rFonts w:asciiTheme="majorHAnsi" w:hAnsiTheme="majorHAnsi"/>
                <w:bCs/>
              </w:rPr>
              <w:t>fotoni</w:t>
            </w:r>
            <w:r w:rsidRPr="00D1553C">
              <w:rPr>
                <w:rFonts w:asciiTheme="majorHAnsi" w:hAnsiTheme="majorHAnsi"/>
                <w:bCs/>
              </w:rPr>
              <w:t>” in particolare al punto 1.a.1 e 1.a.2 si indicano dei “</w:t>
            </w:r>
            <w:r w:rsidRPr="00D1553C">
              <w:rPr>
                <w:rFonts w:asciiTheme="majorHAnsi" w:hAnsiTheme="majorHAnsi"/>
                <w:bCs/>
                <w:i/>
              </w:rPr>
              <w:t>dei valori di riferimento, ottimali”</w:t>
            </w:r>
            <w:r w:rsidRPr="00D1553C">
              <w:rPr>
                <w:rFonts w:asciiTheme="majorHAnsi" w:hAnsiTheme="majorHAnsi"/>
                <w:bCs/>
              </w:rPr>
              <w:t>. Non trovando in tal senso nessuna evidenza clinica in letteratura, si richiede per quali motivi questi vengono considerati ottimali.</w:t>
            </w:r>
          </w:p>
          <w:p w:rsidR="00AA6D4E" w:rsidRPr="00D1553C" w:rsidRDefault="00AA6D4E" w:rsidP="00AA6D4E">
            <w:pPr>
              <w:jc w:val="both"/>
              <w:rPr>
                <w:rFonts w:asciiTheme="majorHAnsi" w:hAnsiTheme="majorHAnsi"/>
                <w:bCs/>
              </w:rPr>
            </w:pPr>
          </w:p>
          <w:p w:rsidR="00AA6D4E" w:rsidRPr="00D1553C" w:rsidRDefault="00AA6D4E" w:rsidP="00AA6D4E">
            <w:pPr>
              <w:jc w:val="both"/>
              <w:rPr>
                <w:rFonts w:asciiTheme="majorHAnsi" w:hAnsiTheme="majorHAnsi"/>
                <w:bCs/>
              </w:rPr>
            </w:pPr>
            <w:r w:rsidRPr="00D1553C">
              <w:rPr>
                <w:rFonts w:asciiTheme="majorHAnsi" w:hAnsiTheme="majorHAnsi"/>
                <w:bCs/>
              </w:rPr>
              <w:t>Analogamente nella sezione “Parametri caratteristici dei Fasci elett</w:t>
            </w:r>
            <w:r w:rsidR="00492EA5" w:rsidRPr="00D1553C">
              <w:rPr>
                <w:rFonts w:asciiTheme="majorHAnsi" w:hAnsiTheme="majorHAnsi"/>
                <w:bCs/>
              </w:rPr>
              <w:t>roni” in particolare al punto 1.</w:t>
            </w:r>
            <w:r w:rsidRPr="00D1553C">
              <w:rPr>
                <w:rFonts w:asciiTheme="majorHAnsi" w:hAnsiTheme="majorHAnsi"/>
                <w:bCs/>
              </w:rPr>
              <w:t>b.1 e 1.b.2 si indicano dei “</w:t>
            </w:r>
            <w:r w:rsidRPr="00D1553C">
              <w:rPr>
                <w:rFonts w:asciiTheme="majorHAnsi" w:hAnsiTheme="majorHAnsi"/>
                <w:bCs/>
                <w:i/>
              </w:rPr>
              <w:t>valori di riferimento, ottimali</w:t>
            </w:r>
            <w:r w:rsidRPr="00D1553C">
              <w:rPr>
                <w:rFonts w:asciiTheme="majorHAnsi" w:hAnsiTheme="majorHAnsi"/>
                <w:bCs/>
              </w:rPr>
              <w:t xml:space="preserve">” </w:t>
            </w:r>
            <w:r w:rsidR="00484ECB" w:rsidRPr="00D1553C">
              <w:rPr>
                <w:rFonts w:asciiTheme="majorHAnsi" w:hAnsiTheme="majorHAnsi"/>
                <w:bCs/>
              </w:rPr>
              <w:t>Non trovando in tal senso nessuna evidenza clinica in letteratura, si richiede per quale motivo questi vengono considerati ottimali.</w:t>
            </w:r>
          </w:p>
          <w:p w:rsidR="00D1553C" w:rsidRPr="00D1553C" w:rsidRDefault="00D1553C" w:rsidP="00AA6D4E">
            <w:pPr>
              <w:jc w:val="both"/>
              <w:rPr>
                <w:rFonts w:asciiTheme="majorHAnsi" w:hAnsiTheme="majorHAnsi"/>
                <w:bCs/>
              </w:rPr>
            </w:pPr>
          </w:p>
          <w:p w:rsidR="00D1553C" w:rsidRPr="00D1553C" w:rsidRDefault="00D1553C" w:rsidP="00AA6D4E">
            <w:pPr>
              <w:jc w:val="both"/>
              <w:rPr>
                <w:rFonts w:asciiTheme="majorHAnsi" w:hAnsiTheme="majorHAnsi"/>
                <w:bCs/>
              </w:rPr>
            </w:pPr>
            <w:r>
              <w:rPr>
                <w:rFonts w:asciiTheme="majorHAnsi" w:hAnsiTheme="majorHAnsi"/>
                <w:bCs/>
              </w:rPr>
              <w:lastRenderedPageBreak/>
              <w:t>Domanda</w:t>
            </w:r>
            <w:r w:rsidRPr="00D1553C">
              <w:rPr>
                <w:rFonts w:asciiTheme="majorHAnsi" w:hAnsiTheme="majorHAnsi"/>
                <w:bCs/>
              </w:rPr>
              <w:t xml:space="preserve"> 2</w:t>
            </w:r>
          </w:p>
          <w:p w:rsidR="00D1553C" w:rsidRPr="00D1553C" w:rsidRDefault="00D1553C" w:rsidP="00D1553C">
            <w:pPr>
              <w:jc w:val="both"/>
              <w:rPr>
                <w:rFonts w:asciiTheme="majorHAnsi" w:hAnsiTheme="majorHAnsi"/>
                <w:bCs/>
              </w:rPr>
            </w:pPr>
            <w:r w:rsidRPr="00D1553C">
              <w:rPr>
                <w:rFonts w:asciiTheme="majorHAnsi" w:hAnsiTheme="majorHAnsi"/>
                <w:bCs/>
              </w:rPr>
              <w:t xml:space="preserve">Con particolare riferimenti al Vostro documento “CAPITOLATO SPECIALE PER L’AFFIDAMENTO DELLA FORNITURA </w:t>
            </w:r>
            <w:proofErr w:type="spellStart"/>
            <w:r w:rsidRPr="00D1553C">
              <w:rPr>
                <w:rFonts w:asciiTheme="majorHAnsi" w:hAnsiTheme="majorHAnsi"/>
                <w:bCs/>
              </w:rPr>
              <w:t>DI</w:t>
            </w:r>
            <w:proofErr w:type="spellEnd"/>
            <w:r w:rsidRPr="00D1553C">
              <w:rPr>
                <w:rFonts w:asciiTheme="majorHAnsi" w:hAnsiTheme="majorHAnsi"/>
                <w:bCs/>
              </w:rPr>
              <w:t xml:space="preserve"> ACCELATORI LINEARI PER LE AZIENDE DEL SERVIZIO SANITARIO REGIONALE DEL FRIULI VENEZIA GIULIA “ed al LOTTO 1 (CRO </w:t>
            </w:r>
            <w:proofErr w:type="spellStart"/>
            <w:r w:rsidRPr="00D1553C">
              <w:rPr>
                <w:rFonts w:asciiTheme="majorHAnsi" w:hAnsiTheme="majorHAnsi"/>
                <w:bCs/>
              </w:rPr>
              <w:t>DI</w:t>
            </w:r>
            <w:proofErr w:type="spellEnd"/>
            <w:r w:rsidRPr="00D1553C">
              <w:rPr>
                <w:rFonts w:asciiTheme="majorHAnsi" w:hAnsiTheme="majorHAnsi"/>
                <w:bCs/>
              </w:rPr>
              <w:t xml:space="preserve"> AVIANO), la sezione “MODALITA’ </w:t>
            </w:r>
            <w:proofErr w:type="spellStart"/>
            <w:r w:rsidRPr="00D1553C">
              <w:rPr>
                <w:rFonts w:asciiTheme="majorHAnsi" w:hAnsiTheme="majorHAnsi"/>
                <w:bCs/>
              </w:rPr>
              <w:t>DI</w:t>
            </w:r>
            <w:proofErr w:type="spellEnd"/>
            <w:r w:rsidRPr="00D1553C">
              <w:rPr>
                <w:rFonts w:asciiTheme="majorHAnsi" w:hAnsiTheme="majorHAnsi"/>
                <w:bCs/>
              </w:rPr>
              <w:t xml:space="preserve"> ATTRIBUZIONE DEI PUNTEGGI LOTTO N.1 “riporta una tabella con la suddivisione dei 50 punti tecnici. </w:t>
            </w:r>
          </w:p>
          <w:p w:rsidR="00D1553C" w:rsidRPr="00D1553C" w:rsidRDefault="00D1553C" w:rsidP="00D1553C">
            <w:pPr>
              <w:jc w:val="both"/>
              <w:rPr>
                <w:rFonts w:asciiTheme="majorHAnsi" w:hAnsiTheme="majorHAnsi"/>
                <w:bCs/>
              </w:rPr>
            </w:pPr>
            <w:r w:rsidRPr="00D1553C">
              <w:rPr>
                <w:rFonts w:asciiTheme="majorHAnsi" w:hAnsiTheme="majorHAnsi"/>
                <w:bCs/>
              </w:rPr>
              <w:t xml:space="preserve">All’interno della tabella non vi è nessuna sezione dedicata alle componenti principali della macchina, come ad esempio il collimatore multi lamellare (MLC), la </w:t>
            </w:r>
            <w:proofErr w:type="spellStart"/>
            <w:r w:rsidRPr="00D1553C">
              <w:rPr>
                <w:rFonts w:asciiTheme="majorHAnsi" w:hAnsiTheme="majorHAnsi"/>
                <w:bCs/>
              </w:rPr>
              <w:t>ConeBeam</w:t>
            </w:r>
            <w:proofErr w:type="spellEnd"/>
            <w:r w:rsidRPr="00D1553C">
              <w:rPr>
                <w:rFonts w:asciiTheme="majorHAnsi" w:hAnsiTheme="majorHAnsi"/>
                <w:bCs/>
              </w:rPr>
              <w:t xml:space="preserve"> CT o il lettino di trattamento. Trattandosi di componenti fondamentali e di elevato impatto sulle tecniche di trattamento richieste in capitolato quali:</w:t>
            </w:r>
          </w:p>
          <w:p w:rsidR="00D1553C" w:rsidRPr="00D1553C" w:rsidRDefault="00D1553C" w:rsidP="00D1553C">
            <w:pPr>
              <w:jc w:val="both"/>
              <w:rPr>
                <w:rFonts w:asciiTheme="majorHAnsi" w:hAnsiTheme="majorHAnsi"/>
                <w:bCs/>
              </w:rPr>
            </w:pPr>
          </w:p>
          <w:p w:rsidR="00D1553C" w:rsidRPr="00D1553C" w:rsidRDefault="00D1553C" w:rsidP="00D1553C">
            <w:pPr>
              <w:pStyle w:val="Paragrafoelenco"/>
              <w:numPr>
                <w:ilvl w:val="0"/>
                <w:numId w:val="7"/>
              </w:numPr>
              <w:jc w:val="both"/>
              <w:rPr>
                <w:rFonts w:asciiTheme="majorHAnsi" w:hAnsiTheme="majorHAnsi"/>
                <w:bCs/>
              </w:rPr>
            </w:pPr>
            <w:r w:rsidRPr="00D1553C">
              <w:rPr>
                <w:rFonts w:asciiTheme="majorHAnsi" w:hAnsiTheme="majorHAnsi"/>
                <w:bCs/>
              </w:rPr>
              <w:t xml:space="preserve">IMRT DINAMICA SENZA E CON LETTO RUOTATO, SU BERSAGLI PICCOLI; MEDI E GRANDI </w:t>
            </w:r>
          </w:p>
          <w:p w:rsidR="00D1553C" w:rsidRPr="00D1553C" w:rsidRDefault="00D1553C" w:rsidP="00D1553C">
            <w:pPr>
              <w:pStyle w:val="Paragrafoelenco"/>
              <w:numPr>
                <w:ilvl w:val="0"/>
                <w:numId w:val="7"/>
              </w:numPr>
              <w:jc w:val="both"/>
              <w:rPr>
                <w:rFonts w:asciiTheme="majorHAnsi" w:hAnsiTheme="majorHAnsi"/>
                <w:bCs/>
              </w:rPr>
            </w:pPr>
            <w:r w:rsidRPr="00D1553C">
              <w:rPr>
                <w:rFonts w:asciiTheme="majorHAnsi" w:hAnsiTheme="majorHAnsi"/>
                <w:bCs/>
              </w:rPr>
              <w:t xml:space="preserve">IMRT VOLUMETRICA SENZA E CON LETTO RUOTATO, </w:t>
            </w:r>
            <w:bookmarkStart w:id="0" w:name="_GoBack"/>
            <w:bookmarkEnd w:id="0"/>
            <w:r w:rsidRPr="00D1553C">
              <w:rPr>
                <w:rFonts w:asciiTheme="majorHAnsi" w:hAnsiTheme="majorHAnsi"/>
                <w:bCs/>
              </w:rPr>
              <w:t>SU BERSAGLI PICCOLI, MEDI E GRANDI</w:t>
            </w:r>
          </w:p>
          <w:p w:rsidR="00D1553C" w:rsidRPr="00D1553C" w:rsidRDefault="00D1553C" w:rsidP="00D1553C">
            <w:pPr>
              <w:pStyle w:val="Paragrafoelenco"/>
              <w:numPr>
                <w:ilvl w:val="0"/>
                <w:numId w:val="7"/>
              </w:numPr>
              <w:jc w:val="both"/>
              <w:rPr>
                <w:rFonts w:asciiTheme="majorHAnsi" w:hAnsiTheme="majorHAnsi"/>
                <w:bCs/>
              </w:rPr>
            </w:pPr>
            <w:r w:rsidRPr="00D1553C">
              <w:rPr>
                <w:rFonts w:asciiTheme="majorHAnsi" w:hAnsiTheme="majorHAnsi"/>
                <w:bCs/>
              </w:rPr>
              <w:t>SRS, SRT E SBRT AD ALTA DOSE PER FRAZIONE, CRANICA ED EXTRACRANICA SENZA E CON LETTO RUOTATO, SU BERSAGLI PICCOLI</w:t>
            </w:r>
          </w:p>
          <w:p w:rsidR="00D1553C" w:rsidRPr="00D1553C" w:rsidRDefault="00D1553C" w:rsidP="00D1553C">
            <w:pPr>
              <w:pStyle w:val="Paragrafoelenco"/>
              <w:numPr>
                <w:ilvl w:val="0"/>
                <w:numId w:val="7"/>
              </w:numPr>
              <w:jc w:val="both"/>
              <w:rPr>
                <w:rFonts w:asciiTheme="majorHAnsi" w:hAnsiTheme="majorHAnsi"/>
                <w:bCs/>
              </w:rPr>
            </w:pPr>
            <w:r w:rsidRPr="00D1553C">
              <w:rPr>
                <w:rFonts w:asciiTheme="majorHAnsi" w:hAnsiTheme="majorHAnsi"/>
                <w:bCs/>
              </w:rPr>
              <w:t xml:space="preserve">IGRT 4 D CON POSSIBILITA’ </w:t>
            </w:r>
            <w:proofErr w:type="spellStart"/>
            <w:r w:rsidRPr="00D1553C">
              <w:rPr>
                <w:rFonts w:asciiTheme="majorHAnsi" w:hAnsiTheme="majorHAnsi"/>
                <w:bCs/>
              </w:rPr>
              <w:t>DI</w:t>
            </w:r>
            <w:proofErr w:type="spellEnd"/>
            <w:r w:rsidRPr="00D1553C">
              <w:rPr>
                <w:rFonts w:asciiTheme="majorHAnsi" w:hAnsiTheme="majorHAnsi"/>
                <w:bCs/>
              </w:rPr>
              <w:t xml:space="preserve"> TRACKING DEL BERSAGLIO</w:t>
            </w:r>
          </w:p>
          <w:p w:rsidR="00D1553C" w:rsidRPr="00D1553C" w:rsidRDefault="00D1553C" w:rsidP="00D1553C">
            <w:pPr>
              <w:pStyle w:val="Paragrafoelenco"/>
              <w:numPr>
                <w:ilvl w:val="0"/>
                <w:numId w:val="7"/>
              </w:numPr>
              <w:jc w:val="both"/>
              <w:rPr>
                <w:rFonts w:asciiTheme="majorHAnsi" w:hAnsiTheme="majorHAnsi"/>
                <w:bCs/>
              </w:rPr>
            </w:pPr>
            <w:r w:rsidRPr="00D1553C">
              <w:rPr>
                <w:rFonts w:asciiTheme="majorHAnsi" w:hAnsiTheme="majorHAnsi"/>
                <w:bCs/>
              </w:rPr>
              <w:t>REGOLAZIONE DEL TRATTAMENTO SECONDO L’ATTO RESPIRATO.</w:t>
            </w:r>
          </w:p>
          <w:p w:rsidR="00D1553C" w:rsidRPr="00D1553C" w:rsidRDefault="00D1553C" w:rsidP="00D1553C">
            <w:pPr>
              <w:jc w:val="both"/>
              <w:rPr>
                <w:rFonts w:asciiTheme="majorHAnsi" w:hAnsiTheme="majorHAnsi"/>
                <w:bCs/>
              </w:rPr>
            </w:pPr>
          </w:p>
          <w:p w:rsidR="00D1553C" w:rsidRPr="00D1553C" w:rsidRDefault="00D1553C" w:rsidP="00D1553C">
            <w:pPr>
              <w:jc w:val="both"/>
              <w:rPr>
                <w:rFonts w:asciiTheme="majorHAnsi" w:hAnsiTheme="majorHAnsi"/>
                <w:bCs/>
              </w:rPr>
            </w:pPr>
            <w:r w:rsidRPr="00D1553C">
              <w:rPr>
                <w:rFonts w:asciiTheme="majorHAnsi" w:hAnsiTheme="majorHAnsi"/>
                <w:bCs/>
              </w:rPr>
              <w:t>Chiediamo per quale mot</w:t>
            </w:r>
            <w:r>
              <w:rPr>
                <w:rFonts w:asciiTheme="majorHAnsi" w:hAnsiTheme="majorHAnsi"/>
                <w:bCs/>
              </w:rPr>
              <w:t>ivo questi non vengono valutati</w:t>
            </w:r>
          </w:p>
          <w:p w:rsidR="00D1553C" w:rsidRPr="00D1553C" w:rsidRDefault="00D1553C" w:rsidP="00AA6D4E">
            <w:pPr>
              <w:jc w:val="both"/>
              <w:rPr>
                <w:rFonts w:asciiTheme="majorHAnsi" w:hAnsiTheme="majorHAnsi"/>
                <w:b/>
                <w:bCs/>
              </w:rPr>
            </w:pPr>
          </w:p>
        </w:tc>
        <w:tc>
          <w:tcPr>
            <w:tcW w:w="6315" w:type="dxa"/>
            <w:gridSpan w:val="2"/>
          </w:tcPr>
          <w:p w:rsidR="00FB0BC6" w:rsidRPr="00452342" w:rsidRDefault="00FB0BC6" w:rsidP="00FB0BC6">
            <w:pPr>
              <w:rPr>
                <w:rFonts w:asciiTheme="majorHAnsi" w:hAnsiTheme="majorHAnsi"/>
                <w:b/>
                <w:bCs/>
              </w:rPr>
            </w:pPr>
            <w:r w:rsidRPr="00452342">
              <w:rPr>
                <w:rFonts w:asciiTheme="majorHAnsi" w:hAnsiTheme="majorHAnsi"/>
                <w:b/>
                <w:bCs/>
              </w:rPr>
              <w:lastRenderedPageBreak/>
              <w:t>Domanda 1:</w:t>
            </w:r>
          </w:p>
          <w:p w:rsidR="00FB0BC6" w:rsidRPr="00452342" w:rsidRDefault="0063058C" w:rsidP="00877500">
            <w:pPr>
              <w:jc w:val="both"/>
              <w:rPr>
                <w:rFonts w:asciiTheme="majorHAnsi" w:hAnsiTheme="majorHAnsi"/>
              </w:rPr>
            </w:pPr>
            <w:r w:rsidRPr="00452342">
              <w:rPr>
                <w:rFonts w:asciiTheme="majorHAnsi" w:hAnsiTheme="majorHAnsi"/>
              </w:rPr>
              <w:t>la definizione dei parametri e valori del CSA sono stati definiti</w:t>
            </w:r>
            <w:r w:rsidR="00877500" w:rsidRPr="00452342">
              <w:rPr>
                <w:rFonts w:asciiTheme="majorHAnsi" w:hAnsiTheme="majorHAnsi"/>
              </w:rPr>
              <w:t xml:space="preserve"> da un gruppo tecnico che ha </w:t>
            </w:r>
            <w:proofErr w:type="spellStart"/>
            <w:r w:rsidR="00877500" w:rsidRPr="00452342">
              <w:rPr>
                <w:rFonts w:asciiTheme="majorHAnsi" w:hAnsiTheme="majorHAnsi"/>
              </w:rPr>
              <w:t>ritenuto</w:t>
            </w:r>
            <w:r w:rsidRPr="00452342">
              <w:rPr>
                <w:rFonts w:asciiTheme="majorHAnsi" w:hAnsiTheme="majorHAnsi"/>
              </w:rPr>
              <w:t>to</w:t>
            </w:r>
            <w:proofErr w:type="spellEnd"/>
            <w:r w:rsidRPr="00452342">
              <w:rPr>
                <w:rFonts w:asciiTheme="majorHAnsi" w:hAnsiTheme="majorHAnsi"/>
              </w:rPr>
              <w:t xml:space="preserve"> di </w:t>
            </w:r>
            <w:r w:rsidR="00877500" w:rsidRPr="00452342">
              <w:rPr>
                <w:rFonts w:asciiTheme="majorHAnsi" w:hAnsiTheme="majorHAnsi"/>
              </w:rPr>
              <w:t>definire i valori</w:t>
            </w:r>
            <w:r w:rsidR="00FB0BC6" w:rsidRPr="00452342">
              <w:rPr>
                <w:rFonts w:asciiTheme="majorHAnsi" w:hAnsiTheme="majorHAnsi"/>
              </w:rPr>
              <w:t xml:space="preserve"> “riferimento ottimali”</w:t>
            </w:r>
            <w:r w:rsidR="00877500" w:rsidRPr="00452342">
              <w:rPr>
                <w:rFonts w:asciiTheme="majorHAnsi" w:hAnsiTheme="majorHAnsi"/>
              </w:rPr>
              <w:t xml:space="preserve"> in relazione al fatto che </w:t>
            </w:r>
            <w:r w:rsidR="00FB0BC6" w:rsidRPr="00452342">
              <w:rPr>
                <w:rFonts w:asciiTheme="majorHAnsi" w:hAnsiTheme="majorHAnsi"/>
              </w:rPr>
              <w:t>i risultati clinici che fanno da riferimento  per la presa in carico delle necessità dei pazienti attuali/futuri, </w:t>
            </w:r>
            <w:r w:rsidR="00877500" w:rsidRPr="00452342">
              <w:rPr>
                <w:rFonts w:asciiTheme="majorHAnsi" w:hAnsiTheme="majorHAnsi"/>
              </w:rPr>
              <w:t>sono</w:t>
            </w:r>
            <w:r w:rsidR="00FB0BC6" w:rsidRPr="00452342">
              <w:rPr>
                <w:rFonts w:asciiTheme="majorHAnsi" w:hAnsiTheme="majorHAnsi"/>
              </w:rPr>
              <w:t xml:space="preserve"> </w:t>
            </w:r>
            <w:r w:rsidRPr="00452342">
              <w:rPr>
                <w:rFonts w:asciiTheme="majorHAnsi" w:hAnsiTheme="majorHAnsi"/>
              </w:rPr>
              <w:t>basati sulla</w:t>
            </w:r>
            <w:r w:rsidR="00FB0BC6" w:rsidRPr="00452342">
              <w:rPr>
                <w:rFonts w:asciiTheme="majorHAnsi" w:hAnsiTheme="majorHAnsi"/>
              </w:rPr>
              <w:t xml:space="preserve"> consolidata esperienza che è stata maturata con fasci di fotoni e di elettroni  i cui parametri caratteristici sono indicati proprio come valori ottimali.</w:t>
            </w:r>
          </w:p>
          <w:p w:rsidR="00FB0BC6" w:rsidRPr="00452342" w:rsidRDefault="00FB0BC6" w:rsidP="00FB0BC6">
            <w:pPr>
              <w:rPr>
                <w:rFonts w:asciiTheme="majorHAnsi" w:hAnsiTheme="majorHAnsi"/>
                <w:b/>
                <w:bCs/>
              </w:rPr>
            </w:pPr>
            <w:r w:rsidRPr="00452342">
              <w:rPr>
                <w:rFonts w:asciiTheme="majorHAnsi" w:hAnsiTheme="majorHAnsi"/>
                <w:b/>
                <w:bCs/>
              </w:rPr>
              <w:t>Domanda 2:</w:t>
            </w:r>
          </w:p>
          <w:p w:rsidR="00877500" w:rsidRPr="00452342" w:rsidRDefault="0063058C" w:rsidP="00877500">
            <w:pPr>
              <w:jc w:val="both"/>
              <w:rPr>
                <w:rFonts w:asciiTheme="majorHAnsi" w:hAnsiTheme="majorHAnsi"/>
              </w:rPr>
            </w:pPr>
            <w:r w:rsidRPr="00452342">
              <w:rPr>
                <w:rFonts w:asciiTheme="majorHAnsi" w:hAnsiTheme="majorHAnsi"/>
              </w:rPr>
              <w:t>nel confermare quanto riportato nel CSA</w:t>
            </w:r>
            <w:r w:rsidR="002C0761" w:rsidRPr="00452342">
              <w:rPr>
                <w:rFonts w:asciiTheme="majorHAnsi" w:hAnsiTheme="majorHAnsi"/>
              </w:rPr>
              <w:t>,</w:t>
            </w:r>
            <w:r w:rsidRPr="00452342">
              <w:rPr>
                <w:rFonts w:asciiTheme="majorHAnsi" w:hAnsiTheme="majorHAnsi"/>
              </w:rPr>
              <w:t xml:space="preserve"> </w:t>
            </w:r>
            <w:r w:rsidR="00877500" w:rsidRPr="00452342">
              <w:rPr>
                <w:rFonts w:asciiTheme="majorHAnsi" w:hAnsiTheme="majorHAnsi"/>
              </w:rPr>
              <w:t xml:space="preserve">, tutto quanto richiesto al punto 3, “Configurazione e caratteristiche tecnico/funzionali OBBLIGATORIE, pena l’esclusione, delle apparecchiature o dei sistemi” del “CAPITOLATO SPECIALE PER L’AFFIDAMENTO DELLA FORNITURA </w:t>
            </w:r>
            <w:proofErr w:type="spellStart"/>
            <w:r w:rsidR="00877500" w:rsidRPr="00452342">
              <w:rPr>
                <w:rFonts w:asciiTheme="majorHAnsi" w:hAnsiTheme="majorHAnsi"/>
              </w:rPr>
              <w:t>DI</w:t>
            </w:r>
            <w:proofErr w:type="spellEnd"/>
            <w:r w:rsidR="00877500" w:rsidRPr="00452342">
              <w:rPr>
                <w:rFonts w:asciiTheme="majorHAnsi" w:hAnsiTheme="majorHAnsi"/>
              </w:rPr>
              <w:t xml:space="preserve"> ACCELERATORI LINEARI PER LE AZIENDE DEL SERVIZIO SANITARIO REGIONALE DEL FRIULI </w:t>
            </w:r>
            <w:r w:rsidR="00877500" w:rsidRPr="00452342">
              <w:rPr>
                <w:rFonts w:asciiTheme="majorHAnsi" w:hAnsiTheme="majorHAnsi"/>
              </w:rPr>
              <w:lastRenderedPageBreak/>
              <w:t xml:space="preserve">VENEZIA GIULIA”, se non ulteriormente specificato in  “MODALITA’ </w:t>
            </w:r>
            <w:proofErr w:type="spellStart"/>
            <w:r w:rsidR="00877500" w:rsidRPr="00452342">
              <w:rPr>
                <w:rFonts w:asciiTheme="majorHAnsi" w:hAnsiTheme="majorHAnsi"/>
              </w:rPr>
              <w:t>DI</w:t>
            </w:r>
            <w:proofErr w:type="spellEnd"/>
            <w:r w:rsidR="00877500" w:rsidRPr="00452342">
              <w:rPr>
                <w:rFonts w:asciiTheme="majorHAnsi" w:hAnsiTheme="majorHAnsi"/>
              </w:rPr>
              <w:t xml:space="preserve"> ATTRIBUZIONE DEI PUNTEGGI LOTTO N.1”, è di per sé sufficiente ad individuare un’apparecchiatura,  nella sua completezza, di altissima gamma, che è in grado di erogare le tecniche di trattamento richieste e che ben si inserisce nel processo di gestione globale della cura dei pazienti ed è  funzionale alla visione altamente multidisciplinare della SOC di destinazione dell’apparecchiatura.</w:t>
            </w:r>
          </w:p>
          <w:p w:rsidR="00FB0BC6" w:rsidRPr="00D1553C" w:rsidRDefault="00FB0BC6" w:rsidP="00756E3B">
            <w:pPr>
              <w:rPr>
                <w:rFonts w:asciiTheme="majorHAnsi" w:hAnsiTheme="majorHAnsi"/>
              </w:rPr>
            </w:pPr>
          </w:p>
        </w:tc>
      </w:tr>
    </w:tbl>
    <w:p w:rsidR="000537DE" w:rsidRDefault="000537DE"/>
    <w:sectPr w:rsidR="000537DE" w:rsidSect="00C35DD7">
      <w:pgSz w:w="16838" w:h="11906" w:orient="landscape"/>
      <w:pgMar w:top="1134"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cean Sans MT">
    <w:altName w:val="Trebuchet MS"/>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4CB7"/>
    <w:multiLevelType w:val="hybridMultilevel"/>
    <w:tmpl w:val="AD5E9A8E"/>
    <w:lvl w:ilvl="0" w:tplc="04090001">
      <w:start w:val="1"/>
      <w:numFmt w:val="bullet"/>
      <w:lvlText w:val=""/>
      <w:lvlJc w:val="left"/>
      <w:pPr>
        <w:ind w:left="360" w:hanging="360"/>
      </w:pPr>
      <w:rPr>
        <w:rFonts w:ascii="Symbol" w:hAnsi="Symbol" w:hint="default"/>
      </w:rPr>
    </w:lvl>
    <w:lvl w:ilvl="1" w:tplc="E6260244">
      <w:numFmt w:val="bullet"/>
      <w:lvlText w:val="•"/>
      <w:lvlJc w:val="left"/>
      <w:pPr>
        <w:ind w:left="1440" w:hanging="720"/>
      </w:pPr>
      <w:rPr>
        <w:rFonts w:ascii="Cambria" w:eastAsia="Calibri" w:hAnsi="Cambria" w:cs="Calibri"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9B93ACA"/>
    <w:multiLevelType w:val="hybridMultilevel"/>
    <w:tmpl w:val="0BAC423E"/>
    <w:lvl w:ilvl="0" w:tplc="23B2F09C">
      <w:start w:val="1"/>
      <w:numFmt w:val="bullet"/>
      <w:lvlText w:val="-"/>
      <w:lvlJc w:val="left"/>
      <w:pPr>
        <w:ind w:left="1713" w:hanging="360"/>
      </w:pPr>
      <w:rPr>
        <w:rFonts w:ascii="Ocean Sans MT" w:hAnsi="Ocean Sans MT"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
    <w:nsid w:val="28017BA6"/>
    <w:multiLevelType w:val="hybridMultilevel"/>
    <w:tmpl w:val="A274C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417ABB"/>
    <w:multiLevelType w:val="hybridMultilevel"/>
    <w:tmpl w:val="70B06FB0"/>
    <w:lvl w:ilvl="0" w:tplc="CA4EAA4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3C24D29"/>
    <w:multiLevelType w:val="hybridMultilevel"/>
    <w:tmpl w:val="627824F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36B04C0E"/>
    <w:multiLevelType w:val="hybridMultilevel"/>
    <w:tmpl w:val="613240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F6D706F"/>
    <w:multiLevelType w:val="hybridMultilevel"/>
    <w:tmpl w:val="1BC486F8"/>
    <w:lvl w:ilvl="0" w:tplc="DF08C124">
      <w:numFmt w:val="bullet"/>
      <w:lvlText w:val="-"/>
      <w:lvlJc w:val="left"/>
      <w:pPr>
        <w:ind w:left="360" w:hanging="360"/>
      </w:pPr>
      <w:rPr>
        <w:rFonts w:ascii="Ocean Sans MT" w:eastAsia="Calibri" w:hAnsi="Ocean Sans MT"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5A065951"/>
    <w:multiLevelType w:val="hybridMultilevel"/>
    <w:tmpl w:val="A36E3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0"/>
  </w:num>
  <w:num w:numId="5">
    <w:abstractNumId w:val="6"/>
  </w:num>
  <w:num w:numId="6">
    <w:abstractNumId w:val="1"/>
  </w:num>
  <w:num w:numId="7">
    <w:abstractNumId w:val="7"/>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C35DD7"/>
    <w:rsid w:val="00051F25"/>
    <w:rsid w:val="000537DE"/>
    <w:rsid w:val="00073DBD"/>
    <w:rsid w:val="00091B34"/>
    <w:rsid w:val="000A137A"/>
    <w:rsid w:val="00122DFC"/>
    <w:rsid w:val="00137490"/>
    <w:rsid w:val="001F6365"/>
    <w:rsid w:val="00205D85"/>
    <w:rsid w:val="002076CA"/>
    <w:rsid w:val="00211031"/>
    <w:rsid w:val="0024648F"/>
    <w:rsid w:val="00246E68"/>
    <w:rsid w:val="002472AD"/>
    <w:rsid w:val="00255581"/>
    <w:rsid w:val="002640DA"/>
    <w:rsid w:val="002A0540"/>
    <w:rsid w:val="002A7AD2"/>
    <w:rsid w:val="002C0761"/>
    <w:rsid w:val="002C4E00"/>
    <w:rsid w:val="002F506D"/>
    <w:rsid w:val="0034402F"/>
    <w:rsid w:val="0037765A"/>
    <w:rsid w:val="003D31B1"/>
    <w:rsid w:val="003E3D22"/>
    <w:rsid w:val="003E3E40"/>
    <w:rsid w:val="003F5136"/>
    <w:rsid w:val="003F6953"/>
    <w:rsid w:val="004143F7"/>
    <w:rsid w:val="00415681"/>
    <w:rsid w:val="004418E6"/>
    <w:rsid w:val="00452342"/>
    <w:rsid w:val="00484ECB"/>
    <w:rsid w:val="00492EA5"/>
    <w:rsid w:val="004B64CA"/>
    <w:rsid w:val="005433CE"/>
    <w:rsid w:val="005801EB"/>
    <w:rsid w:val="00605D87"/>
    <w:rsid w:val="00606E37"/>
    <w:rsid w:val="00615E7B"/>
    <w:rsid w:val="00620601"/>
    <w:rsid w:val="0063058C"/>
    <w:rsid w:val="006424DE"/>
    <w:rsid w:val="006B1B87"/>
    <w:rsid w:val="006B28EF"/>
    <w:rsid w:val="006B6B54"/>
    <w:rsid w:val="00711872"/>
    <w:rsid w:val="007129FB"/>
    <w:rsid w:val="00730D74"/>
    <w:rsid w:val="00756E3B"/>
    <w:rsid w:val="00776B01"/>
    <w:rsid w:val="007C7154"/>
    <w:rsid w:val="007D7A26"/>
    <w:rsid w:val="00831F3A"/>
    <w:rsid w:val="00855919"/>
    <w:rsid w:val="00861B66"/>
    <w:rsid w:val="00863C27"/>
    <w:rsid w:val="00877500"/>
    <w:rsid w:val="00903B01"/>
    <w:rsid w:val="00927F1A"/>
    <w:rsid w:val="00972187"/>
    <w:rsid w:val="00992538"/>
    <w:rsid w:val="009A7B58"/>
    <w:rsid w:val="00A56792"/>
    <w:rsid w:val="00AA6D4E"/>
    <w:rsid w:val="00AD3603"/>
    <w:rsid w:val="00B37A74"/>
    <w:rsid w:val="00B9670A"/>
    <w:rsid w:val="00BA6344"/>
    <w:rsid w:val="00BB4490"/>
    <w:rsid w:val="00BC10B2"/>
    <w:rsid w:val="00BF163D"/>
    <w:rsid w:val="00C35802"/>
    <w:rsid w:val="00C35DD7"/>
    <w:rsid w:val="00C45FBF"/>
    <w:rsid w:val="00C56E52"/>
    <w:rsid w:val="00C920FA"/>
    <w:rsid w:val="00CD2A2B"/>
    <w:rsid w:val="00D1553C"/>
    <w:rsid w:val="00D21280"/>
    <w:rsid w:val="00D42659"/>
    <w:rsid w:val="00D571E5"/>
    <w:rsid w:val="00D72A46"/>
    <w:rsid w:val="00D74D4F"/>
    <w:rsid w:val="00D811A4"/>
    <w:rsid w:val="00DA2673"/>
    <w:rsid w:val="00E32617"/>
    <w:rsid w:val="00E51C9B"/>
    <w:rsid w:val="00E77BD0"/>
    <w:rsid w:val="00EA1946"/>
    <w:rsid w:val="00EF0726"/>
    <w:rsid w:val="00EF78D0"/>
    <w:rsid w:val="00F16C64"/>
    <w:rsid w:val="00F65E2E"/>
    <w:rsid w:val="00F67F05"/>
    <w:rsid w:val="00FA6E4F"/>
    <w:rsid w:val="00FB0BC6"/>
    <w:rsid w:val="00FE13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37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C35D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D811A4"/>
    <w:pPr>
      <w:spacing w:after="0" w:line="240" w:lineRule="auto"/>
      <w:ind w:left="720"/>
    </w:pPr>
    <w:rPr>
      <w:rFonts w:ascii="Calibri" w:hAnsi="Calibri" w:cs="Times New Roman"/>
      <w:lang w:eastAsia="it-IT"/>
    </w:rPr>
  </w:style>
  <w:style w:type="paragraph" w:styleId="NormaleWeb">
    <w:name w:val="Normal (Web)"/>
    <w:basedOn w:val="Normale"/>
    <w:uiPriority w:val="99"/>
    <w:unhideWhenUsed/>
    <w:rsid w:val="007C7154"/>
    <w:pPr>
      <w:spacing w:after="0" w:line="240" w:lineRule="auto"/>
    </w:pPr>
    <w:rPr>
      <w:rFonts w:ascii="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79820">
      <w:bodyDiv w:val="1"/>
      <w:marLeft w:val="0"/>
      <w:marRight w:val="0"/>
      <w:marTop w:val="0"/>
      <w:marBottom w:val="0"/>
      <w:divBdr>
        <w:top w:val="none" w:sz="0" w:space="0" w:color="auto"/>
        <w:left w:val="none" w:sz="0" w:space="0" w:color="auto"/>
        <w:bottom w:val="none" w:sz="0" w:space="0" w:color="auto"/>
        <w:right w:val="none" w:sz="0" w:space="0" w:color="auto"/>
      </w:divBdr>
    </w:div>
    <w:div w:id="264533854">
      <w:bodyDiv w:val="1"/>
      <w:marLeft w:val="0"/>
      <w:marRight w:val="0"/>
      <w:marTop w:val="0"/>
      <w:marBottom w:val="0"/>
      <w:divBdr>
        <w:top w:val="none" w:sz="0" w:space="0" w:color="auto"/>
        <w:left w:val="none" w:sz="0" w:space="0" w:color="auto"/>
        <w:bottom w:val="none" w:sz="0" w:space="0" w:color="auto"/>
        <w:right w:val="none" w:sz="0" w:space="0" w:color="auto"/>
      </w:divBdr>
    </w:div>
    <w:div w:id="407770920">
      <w:bodyDiv w:val="1"/>
      <w:marLeft w:val="0"/>
      <w:marRight w:val="0"/>
      <w:marTop w:val="0"/>
      <w:marBottom w:val="0"/>
      <w:divBdr>
        <w:top w:val="none" w:sz="0" w:space="0" w:color="auto"/>
        <w:left w:val="none" w:sz="0" w:space="0" w:color="auto"/>
        <w:bottom w:val="none" w:sz="0" w:space="0" w:color="auto"/>
        <w:right w:val="none" w:sz="0" w:space="0" w:color="auto"/>
      </w:divBdr>
    </w:div>
    <w:div w:id="411587927">
      <w:bodyDiv w:val="1"/>
      <w:marLeft w:val="0"/>
      <w:marRight w:val="0"/>
      <w:marTop w:val="0"/>
      <w:marBottom w:val="0"/>
      <w:divBdr>
        <w:top w:val="none" w:sz="0" w:space="0" w:color="auto"/>
        <w:left w:val="none" w:sz="0" w:space="0" w:color="auto"/>
        <w:bottom w:val="none" w:sz="0" w:space="0" w:color="auto"/>
        <w:right w:val="none" w:sz="0" w:space="0" w:color="auto"/>
      </w:divBdr>
    </w:div>
    <w:div w:id="749427410">
      <w:bodyDiv w:val="1"/>
      <w:marLeft w:val="0"/>
      <w:marRight w:val="0"/>
      <w:marTop w:val="0"/>
      <w:marBottom w:val="0"/>
      <w:divBdr>
        <w:top w:val="none" w:sz="0" w:space="0" w:color="auto"/>
        <w:left w:val="none" w:sz="0" w:space="0" w:color="auto"/>
        <w:bottom w:val="none" w:sz="0" w:space="0" w:color="auto"/>
        <w:right w:val="none" w:sz="0" w:space="0" w:color="auto"/>
      </w:divBdr>
    </w:div>
    <w:div w:id="882057221">
      <w:bodyDiv w:val="1"/>
      <w:marLeft w:val="0"/>
      <w:marRight w:val="0"/>
      <w:marTop w:val="0"/>
      <w:marBottom w:val="0"/>
      <w:divBdr>
        <w:top w:val="none" w:sz="0" w:space="0" w:color="auto"/>
        <w:left w:val="none" w:sz="0" w:space="0" w:color="auto"/>
        <w:bottom w:val="none" w:sz="0" w:space="0" w:color="auto"/>
        <w:right w:val="none" w:sz="0" w:space="0" w:color="auto"/>
      </w:divBdr>
    </w:div>
    <w:div w:id="1100758568">
      <w:bodyDiv w:val="1"/>
      <w:marLeft w:val="0"/>
      <w:marRight w:val="0"/>
      <w:marTop w:val="0"/>
      <w:marBottom w:val="0"/>
      <w:divBdr>
        <w:top w:val="none" w:sz="0" w:space="0" w:color="auto"/>
        <w:left w:val="none" w:sz="0" w:space="0" w:color="auto"/>
        <w:bottom w:val="none" w:sz="0" w:space="0" w:color="auto"/>
        <w:right w:val="none" w:sz="0" w:space="0" w:color="auto"/>
      </w:divBdr>
    </w:div>
    <w:div w:id="1255940909">
      <w:bodyDiv w:val="1"/>
      <w:marLeft w:val="0"/>
      <w:marRight w:val="0"/>
      <w:marTop w:val="0"/>
      <w:marBottom w:val="0"/>
      <w:divBdr>
        <w:top w:val="none" w:sz="0" w:space="0" w:color="auto"/>
        <w:left w:val="none" w:sz="0" w:space="0" w:color="auto"/>
        <w:bottom w:val="none" w:sz="0" w:space="0" w:color="auto"/>
        <w:right w:val="none" w:sz="0" w:space="0" w:color="auto"/>
      </w:divBdr>
    </w:div>
    <w:div w:id="1501579827">
      <w:bodyDiv w:val="1"/>
      <w:marLeft w:val="0"/>
      <w:marRight w:val="0"/>
      <w:marTop w:val="0"/>
      <w:marBottom w:val="0"/>
      <w:divBdr>
        <w:top w:val="none" w:sz="0" w:space="0" w:color="auto"/>
        <w:left w:val="none" w:sz="0" w:space="0" w:color="auto"/>
        <w:bottom w:val="none" w:sz="0" w:space="0" w:color="auto"/>
        <w:right w:val="none" w:sz="0" w:space="0" w:color="auto"/>
      </w:divBdr>
    </w:div>
    <w:div w:id="1710033960">
      <w:bodyDiv w:val="1"/>
      <w:marLeft w:val="0"/>
      <w:marRight w:val="0"/>
      <w:marTop w:val="0"/>
      <w:marBottom w:val="0"/>
      <w:divBdr>
        <w:top w:val="none" w:sz="0" w:space="0" w:color="auto"/>
        <w:left w:val="none" w:sz="0" w:space="0" w:color="auto"/>
        <w:bottom w:val="none" w:sz="0" w:space="0" w:color="auto"/>
        <w:right w:val="none" w:sz="0" w:space="0" w:color="auto"/>
      </w:divBdr>
    </w:div>
    <w:div w:id="185842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161A8-8465-43FF-8C18-A6835BE8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10</Pages>
  <Words>4253</Words>
  <Characters>24245</Characters>
  <Application>Microsoft Office Word</Application>
  <DocSecurity>0</DocSecurity>
  <Lines>202</Lines>
  <Paragraphs>56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putignano.maila</dc:creator>
  <cp:lastModifiedBy>cemulini.chiara</cp:lastModifiedBy>
  <cp:revision>35</cp:revision>
  <dcterms:created xsi:type="dcterms:W3CDTF">2016-09-22T13:15:00Z</dcterms:created>
  <dcterms:modified xsi:type="dcterms:W3CDTF">2016-10-12T11:18:00Z</dcterms:modified>
</cp:coreProperties>
</file>